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73989" w14:textId="77777777" w:rsidR="00374BE6" w:rsidRPr="00CA4C17" w:rsidRDefault="00374BE6" w:rsidP="00CA4C17">
      <w:pPr>
        <w:jc w:val="both"/>
        <w:rPr>
          <w:b/>
          <w:bCs/>
          <w:sz w:val="28"/>
          <w:szCs w:val="28"/>
        </w:rPr>
      </w:pPr>
      <w:r w:rsidRPr="00CA4C17">
        <w:rPr>
          <w:b/>
          <w:bCs/>
          <w:sz w:val="28"/>
          <w:szCs w:val="28"/>
        </w:rPr>
        <w:t>Efficacy and Safety of Target Alpha Therapy with Actinium-PSMA in Metastatic Prostate Cancer: A Systematic Review and Meta-Analysis</w:t>
      </w:r>
    </w:p>
    <w:p w14:paraId="1AC70D2C" w14:textId="77777777" w:rsidR="00374BE6" w:rsidRPr="00CA4C17" w:rsidRDefault="00374BE6" w:rsidP="00374BE6">
      <w:pPr>
        <w:rPr>
          <w:b/>
          <w:bCs/>
          <w:sz w:val="28"/>
          <w:szCs w:val="28"/>
        </w:rPr>
      </w:pPr>
      <w:r w:rsidRPr="00CA4C17">
        <w:rPr>
          <w:b/>
          <w:bCs/>
          <w:sz w:val="28"/>
          <w:szCs w:val="28"/>
        </w:rPr>
        <w:t>Abstract</w:t>
      </w:r>
    </w:p>
    <w:p w14:paraId="615100A3" w14:textId="77777777" w:rsidR="00374BE6" w:rsidRPr="00374BE6" w:rsidRDefault="00374BE6" w:rsidP="00374BE6">
      <w:pPr>
        <w:rPr>
          <w:b/>
          <w:bCs/>
        </w:rPr>
      </w:pPr>
      <w:r w:rsidRPr="00374BE6">
        <w:rPr>
          <w:b/>
          <w:bCs/>
        </w:rPr>
        <w:t xml:space="preserve">Background: </w:t>
      </w:r>
      <w:r w:rsidRPr="00CA4C17">
        <w:t>Metastatic castration-resistant prostate cancer (</w:t>
      </w:r>
      <w:proofErr w:type="spellStart"/>
      <w:r w:rsidRPr="00CA4C17">
        <w:t>mCRPC</w:t>
      </w:r>
      <w:proofErr w:type="spellEnd"/>
      <w:r w:rsidRPr="00CA4C17">
        <w:t xml:space="preserve">) remains a significant therapeutic challenge, necessitating novel treatment options. Target alpha therapy (TAT) with actinium-225 (Ac-225) conjugated to prostate-specific membrane antigen (PSMA) ligands has emerged as a promising approach. This systematic review and meta-analysis </w:t>
      </w:r>
      <w:proofErr w:type="gramStart"/>
      <w:r w:rsidRPr="00CA4C17">
        <w:t>evaluates</w:t>
      </w:r>
      <w:proofErr w:type="gramEnd"/>
      <w:r w:rsidRPr="00CA4C17">
        <w:t xml:space="preserve"> the efficacy and safety of actinium-PSMA TAT in patients with metastatic prostate cancer.</w:t>
      </w:r>
    </w:p>
    <w:p w14:paraId="7B925B22" w14:textId="77777777" w:rsidR="00374BE6" w:rsidRPr="00374BE6" w:rsidRDefault="00374BE6" w:rsidP="00374BE6">
      <w:pPr>
        <w:rPr>
          <w:b/>
          <w:bCs/>
        </w:rPr>
      </w:pPr>
      <w:r w:rsidRPr="00374BE6">
        <w:rPr>
          <w:b/>
          <w:bCs/>
        </w:rPr>
        <w:t xml:space="preserve">Methods: </w:t>
      </w:r>
      <w:r w:rsidRPr="00CA4C17">
        <w:t>A comprehensive literature search was conducted in PubMed, Embase, and the Cochrane Library up to July 2024. Studies reporting efficacy outcomes (e.g., PSA50 response rates, progression-free survival [PFS], overall survival [OS]) and safety outcomes of actinium-PSMA TAT in metastatic prostate cancer were included. Data were extracted and meta-analyses performed to estimate pooled effect sizes, with subgroup analyses based on prior treatments and visceral metastases.</w:t>
      </w:r>
    </w:p>
    <w:p w14:paraId="38BF1319" w14:textId="77777777" w:rsidR="00374BE6" w:rsidRPr="00CA4C17" w:rsidRDefault="00374BE6" w:rsidP="00374BE6">
      <w:r w:rsidRPr="00374BE6">
        <w:rPr>
          <w:b/>
          <w:bCs/>
        </w:rPr>
        <w:t xml:space="preserve">Results: </w:t>
      </w:r>
      <w:r w:rsidRPr="00CA4C17">
        <w:t>Eighteen studies involving 1,158 patients were included. The pooled PSA50 response rate was 65% (95% CI 57-73%). Higher PSA50 rates were observed in patients with no prior lines of therapy (78%) compared to those with ≥2 lines (54%), and in those without prior androgen receptor pathway inhibitors (</w:t>
      </w:r>
      <w:proofErr w:type="spellStart"/>
      <w:r w:rsidRPr="00CA4C17">
        <w:t>ARPi</w:t>
      </w:r>
      <w:proofErr w:type="spellEnd"/>
      <w:r w:rsidRPr="00CA4C17">
        <w:t xml:space="preserve">) (72%), </w:t>
      </w:r>
      <w:proofErr w:type="spellStart"/>
      <w:r w:rsidRPr="00CA4C17">
        <w:t>taxane</w:t>
      </w:r>
      <w:proofErr w:type="spellEnd"/>
      <w:r w:rsidRPr="00CA4C17">
        <w:t xml:space="preserve">-based chemotherapy (74%), or lutetium-177-PSMA radioligand therapy (RLT) (70%). Median PFS ranged from 3 to 15 months, and median OS from 8 to 31 months across studies. Common adverse events included xerostomia (77%), </w:t>
      </w:r>
      <w:proofErr w:type="spellStart"/>
      <w:r w:rsidRPr="00CA4C17">
        <w:t>anemia</w:t>
      </w:r>
      <w:proofErr w:type="spellEnd"/>
      <w:r w:rsidRPr="00CA4C17">
        <w:t xml:space="preserve"> (68%), and fatigue (61%), with severe events (e.g., </w:t>
      </w:r>
      <w:proofErr w:type="spellStart"/>
      <w:r w:rsidRPr="00CA4C17">
        <w:t>anemia</w:t>
      </w:r>
      <w:proofErr w:type="spellEnd"/>
      <w:r w:rsidRPr="00CA4C17">
        <w:t>, 11%) being less frequent.</w:t>
      </w:r>
    </w:p>
    <w:p w14:paraId="154C87B7" w14:textId="77777777" w:rsidR="00374BE6" w:rsidRPr="00CA4C17" w:rsidRDefault="00374BE6" w:rsidP="00374BE6">
      <w:r w:rsidRPr="00374BE6">
        <w:rPr>
          <w:b/>
          <w:bCs/>
        </w:rPr>
        <w:t xml:space="preserve">Conclusions: </w:t>
      </w:r>
      <w:r w:rsidRPr="00CA4C17">
        <w:t>Actinium-PSMA TAT demonstrates promising efficacy and an acceptable safety profile in metastatic prostate cancer, particularly in less pretreated patients. Further randomized controlled trials are needed to validate these findings and optimize treatment strategies.</w:t>
      </w:r>
    </w:p>
    <w:p w14:paraId="33FF44F5" w14:textId="77777777" w:rsidR="00374BE6" w:rsidRPr="00CA4C17" w:rsidRDefault="00374BE6" w:rsidP="00374BE6">
      <w:pPr>
        <w:rPr>
          <w:b/>
          <w:bCs/>
          <w:sz w:val="28"/>
          <w:szCs w:val="28"/>
        </w:rPr>
      </w:pPr>
      <w:r w:rsidRPr="00CA4C17">
        <w:rPr>
          <w:b/>
          <w:bCs/>
          <w:sz w:val="28"/>
          <w:szCs w:val="28"/>
        </w:rPr>
        <w:t>Introduction</w:t>
      </w:r>
    </w:p>
    <w:p w14:paraId="63053DCC" w14:textId="77777777" w:rsidR="00374BE6" w:rsidRPr="00CA4C17" w:rsidRDefault="00374BE6" w:rsidP="00374BE6">
      <w:r w:rsidRPr="00CA4C17">
        <w:t>Prostate cancer is a leading cause of cancer-related morbidity and mortality in men worldwide. Its progression to metastatic castration-resistant prostate cancer (</w:t>
      </w:r>
      <w:proofErr w:type="spellStart"/>
      <w:r w:rsidRPr="00CA4C17">
        <w:t>mCRPC</w:t>
      </w:r>
      <w:proofErr w:type="spellEnd"/>
      <w:r w:rsidRPr="00CA4C17">
        <w:t xml:space="preserve">) represents a significant clinical challenge, characterized by resistance to androgen deprivation therapy (ADT) and limited survival despite advances in treatment. Current therapeutic options for </w:t>
      </w:r>
      <w:proofErr w:type="spellStart"/>
      <w:r w:rsidRPr="00CA4C17">
        <w:t>mCRPC</w:t>
      </w:r>
      <w:proofErr w:type="spellEnd"/>
      <w:r w:rsidRPr="00CA4C17">
        <w:t xml:space="preserve"> include androgen receptor pathway inhibitors (</w:t>
      </w:r>
      <w:proofErr w:type="spellStart"/>
      <w:r w:rsidRPr="00CA4C17">
        <w:t>ARPi</w:t>
      </w:r>
      <w:proofErr w:type="spellEnd"/>
      <w:r w:rsidRPr="00CA4C17">
        <w:t xml:space="preserve">), </w:t>
      </w:r>
      <w:proofErr w:type="spellStart"/>
      <w:r w:rsidRPr="00CA4C17">
        <w:t>taxane</w:t>
      </w:r>
      <w:proofErr w:type="spellEnd"/>
      <w:r w:rsidRPr="00CA4C17">
        <w:t>-based chemotherapy, and radioligand therapy with lutetium-177 (Lu-177)-PSMA. However, many patients experience disease progression, highlighting the need for innovative approaches.</w:t>
      </w:r>
    </w:p>
    <w:p w14:paraId="5B20B04C" w14:textId="77777777" w:rsidR="00374BE6" w:rsidRPr="00CA4C17" w:rsidRDefault="00374BE6" w:rsidP="00374BE6">
      <w:r w:rsidRPr="00CA4C17">
        <w:t xml:space="preserve">Target alpha therapy (TAT) utilizes alpha-particle-emitting radionuclides, such as actinium-225 (Ac-225), which deliver high linear energy transfer over a short range, potentially achieving </w:t>
      </w:r>
      <w:r w:rsidRPr="00CA4C17">
        <w:lastRenderedPageBreak/>
        <w:t xml:space="preserve">greater </w:t>
      </w:r>
      <w:proofErr w:type="spellStart"/>
      <w:r w:rsidRPr="00CA4C17">
        <w:t>tumor</w:t>
      </w:r>
      <w:proofErr w:type="spellEnd"/>
      <w:r w:rsidRPr="00CA4C17">
        <w:t xml:space="preserve"> cell killing with reduced toxicity to surrounding healthy tissues compared to beta-particle emitters like Lu-177. Actinium-PSMA TAT targets prostate-specific membrane antigen (PSMA), a protein overexpressed in prostate cancer cells, enabling precise delivery of radiation to </w:t>
      </w:r>
      <w:proofErr w:type="spellStart"/>
      <w:r w:rsidRPr="00CA4C17">
        <w:t>tumor</w:t>
      </w:r>
      <w:proofErr w:type="spellEnd"/>
      <w:r w:rsidRPr="00CA4C17">
        <w:t xml:space="preserve"> sites, including skeletal, lymph node, and visceral metastases.</w:t>
      </w:r>
    </w:p>
    <w:p w14:paraId="101830C0" w14:textId="77777777" w:rsidR="00374BE6" w:rsidRPr="00CA4C17" w:rsidRDefault="00374BE6" w:rsidP="00374BE6">
      <w:r w:rsidRPr="00CA4C17">
        <w:t xml:space="preserve">Preliminary studies have reported encouraging efficacy and safety outcomes with actinium-PSMA TAT in </w:t>
      </w:r>
      <w:proofErr w:type="spellStart"/>
      <w:r w:rsidRPr="00CA4C17">
        <w:t>mCRPC</w:t>
      </w:r>
      <w:proofErr w:type="spellEnd"/>
      <w:r w:rsidRPr="00CA4C17">
        <w:t xml:space="preserve">, but a comprehensive synthesis of the evidence is lacking. This systematic review and meta-analysis </w:t>
      </w:r>
      <w:proofErr w:type="gramStart"/>
      <w:r w:rsidRPr="00CA4C17">
        <w:t>aims</w:t>
      </w:r>
      <w:proofErr w:type="gramEnd"/>
      <w:r w:rsidRPr="00CA4C17">
        <w:t xml:space="preserve"> to evaluate the efficacy and safety of TAT with actinium-PSMA in patients with metastatic prostate cancer, providing a foundation for its potential integration into clinical practice.</w:t>
      </w:r>
    </w:p>
    <w:p w14:paraId="0B12E0C3" w14:textId="77777777" w:rsidR="00374BE6" w:rsidRPr="00CA4C17" w:rsidRDefault="00374BE6" w:rsidP="00374BE6">
      <w:pPr>
        <w:rPr>
          <w:b/>
          <w:bCs/>
          <w:sz w:val="28"/>
          <w:szCs w:val="28"/>
        </w:rPr>
      </w:pPr>
      <w:r w:rsidRPr="00CA4C17">
        <w:rPr>
          <w:b/>
          <w:bCs/>
          <w:sz w:val="28"/>
          <w:szCs w:val="28"/>
        </w:rPr>
        <w:t>Materials and Methods</w:t>
      </w:r>
    </w:p>
    <w:p w14:paraId="6E45565A" w14:textId="77777777" w:rsidR="00374BE6" w:rsidRPr="00374BE6" w:rsidRDefault="00374BE6" w:rsidP="00374BE6">
      <w:pPr>
        <w:rPr>
          <w:b/>
          <w:bCs/>
        </w:rPr>
      </w:pPr>
      <w:r w:rsidRPr="00374BE6">
        <w:rPr>
          <w:b/>
          <w:bCs/>
        </w:rPr>
        <w:t>Search Strategy</w:t>
      </w:r>
    </w:p>
    <w:p w14:paraId="750EBFC4" w14:textId="77777777" w:rsidR="00374BE6" w:rsidRPr="00CA4C17" w:rsidRDefault="00374BE6" w:rsidP="00374BE6">
      <w:r w:rsidRPr="00CA4C17">
        <w:t>A systematic literature search was conducted in PubMed, Embase, and the Cochrane Library from inception to July 2024. Search terms included combinations of "prostate cancer," "metastatic," "actinium," "PSMA," and "target alpha therapy." No language restrictions were applied.</w:t>
      </w:r>
    </w:p>
    <w:p w14:paraId="51DFB2D2" w14:textId="77777777" w:rsidR="00374BE6" w:rsidRPr="00374BE6" w:rsidRDefault="00374BE6" w:rsidP="00374BE6">
      <w:pPr>
        <w:rPr>
          <w:b/>
          <w:bCs/>
        </w:rPr>
      </w:pPr>
      <w:r w:rsidRPr="00374BE6">
        <w:rPr>
          <w:b/>
          <w:bCs/>
        </w:rPr>
        <w:t>Study Selection</w:t>
      </w:r>
    </w:p>
    <w:p w14:paraId="0DDBFC6E" w14:textId="77777777" w:rsidR="00374BE6" w:rsidRPr="00CA4C17" w:rsidRDefault="00374BE6" w:rsidP="00374BE6">
      <w:r w:rsidRPr="00CA4C17">
        <w:t>Studies were included if they were clinical trials or observational studies reporting on the efficacy and/or safety of actinium-PSMA TAT in patients with metastatic prostate cancer. Inclusion criteria required data on efficacy outcomes (e.g., PSA50 response rate [≥50% decline in PSA from baseline], progression-free survival [PFS], overall survival [OS]) or safety outcomes (adverse events). Case reports, reviews, and studies lacking relevant outcome data were excluded.</w:t>
      </w:r>
    </w:p>
    <w:p w14:paraId="4B6FCF24" w14:textId="77777777" w:rsidR="00374BE6" w:rsidRPr="00374BE6" w:rsidRDefault="00374BE6" w:rsidP="00374BE6">
      <w:pPr>
        <w:rPr>
          <w:b/>
          <w:bCs/>
        </w:rPr>
      </w:pPr>
      <w:r w:rsidRPr="00374BE6">
        <w:rPr>
          <w:b/>
          <w:bCs/>
        </w:rPr>
        <w:t>Data Extraction</w:t>
      </w:r>
    </w:p>
    <w:p w14:paraId="1B6A8759" w14:textId="77777777" w:rsidR="00374BE6" w:rsidRPr="00CA4C17" w:rsidRDefault="00374BE6" w:rsidP="00374BE6">
      <w:r w:rsidRPr="00CA4C17">
        <w:t>Data were extracted on study design, patient characteristics (e.g., age, ECOG performance status, baseline PSA, metastatic sites), prior treatments, treatment regimens (radiopharmaceutical, dose, cycles), follow-up duration, and outcomes (PSA50, PFS, OS, adverse events). Extraction was performed independently by two reviewers, with discrepancies resolved by consensus.</w:t>
      </w:r>
    </w:p>
    <w:p w14:paraId="60D7310E" w14:textId="77777777" w:rsidR="00374BE6" w:rsidRPr="00374BE6" w:rsidRDefault="00374BE6" w:rsidP="00374BE6">
      <w:pPr>
        <w:rPr>
          <w:b/>
          <w:bCs/>
        </w:rPr>
      </w:pPr>
      <w:r w:rsidRPr="00374BE6">
        <w:rPr>
          <w:b/>
          <w:bCs/>
        </w:rPr>
        <w:t>Quality Assessment</w:t>
      </w:r>
    </w:p>
    <w:p w14:paraId="3A81CA1E" w14:textId="77777777" w:rsidR="00374BE6" w:rsidRPr="00CA4C17" w:rsidRDefault="00374BE6" w:rsidP="00374BE6">
      <w:r w:rsidRPr="00CA4C17">
        <w:t>The quality of included studies was assessed using the Newcastle-Ottawa Scale for observational studies and the Cochrane Risk of Bias tool for trials, focusing on selection, comparability, and outcome reporting.</w:t>
      </w:r>
    </w:p>
    <w:p w14:paraId="2033A72F" w14:textId="77777777" w:rsidR="00374BE6" w:rsidRPr="00374BE6" w:rsidRDefault="00374BE6" w:rsidP="00374BE6">
      <w:pPr>
        <w:rPr>
          <w:b/>
          <w:bCs/>
        </w:rPr>
      </w:pPr>
      <w:r w:rsidRPr="00374BE6">
        <w:rPr>
          <w:b/>
          <w:bCs/>
        </w:rPr>
        <w:t>Statistical Analysis</w:t>
      </w:r>
    </w:p>
    <w:p w14:paraId="78A17815" w14:textId="77777777" w:rsidR="00374BE6" w:rsidRPr="00CA4C17" w:rsidRDefault="00374BE6" w:rsidP="00374BE6">
      <w:r w:rsidRPr="00CA4C17">
        <w:t xml:space="preserve">Meta-analyses were performed using R software (version 4.3.1) with the "meta" package. Pooled PSA50 response rates were calculated as proportions with 95% confidence intervals (CI) using a random-effects model. Heterogeneity was assessed with the I² statistic. Subgroup </w:t>
      </w:r>
      <w:r w:rsidRPr="00CA4C17">
        <w:lastRenderedPageBreak/>
        <w:t xml:space="preserve">analyses explored PSA50 rates by prior treatments (lines of therapy, </w:t>
      </w:r>
      <w:proofErr w:type="spellStart"/>
      <w:r w:rsidRPr="00CA4C17">
        <w:t>ARPi</w:t>
      </w:r>
      <w:proofErr w:type="spellEnd"/>
      <w:r w:rsidRPr="00CA4C17">
        <w:t xml:space="preserve">, </w:t>
      </w:r>
      <w:proofErr w:type="spellStart"/>
      <w:r w:rsidRPr="00CA4C17">
        <w:t>taxane</w:t>
      </w:r>
      <w:proofErr w:type="spellEnd"/>
      <w:r w:rsidRPr="00CA4C17">
        <w:t>-based chemotherapy, Lu-177-PSMA RLT) and visceral metastases. Survival outcomes (PFS, OS) were summarized descriptively due to inconsistent reporting across studies. Adverse event frequencies were pooled where data permitted.</w:t>
      </w:r>
    </w:p>
    <w:p w14:paraId="6588BECE" w14:textId="77777777" w:rsidR="00374BE6" w:rsidRPr="00CA4C17" w:rsidRDefault="00374BE6" w:rsidP="00374BE6">
      <w:pPr>
        <w:rPr>
          <w:b/>
          <w:bCs/>
          <w:sz w:val="28"/>
          <w:szCs w:val="28"/>
        </w:rPr>
      </w:pPr>
      <w:r w:rsidRPr="00CA4C17">
        <w:rPr>
          <w:b/>
          <w:bCs/>
          <w:sz w:val="28"/>
          <w:szCs w:val="28"/>
        </w:rPr>
        <w:t>Results</w:t>
      </w:r>
    </w:p>
    <w:p w14:paraId="4A0CC45F" w14:textId="77777777" w:rsidR="00374BE6" w:rsidRPr="00374BE6" w:rsidRDefault="00374BE6" w:rsidP="00374BE6">
      <w:pPr>
        <w:rPr>
          <w:b/>
          <w:bCs/>
        </w:rPr>
      </w:pPr>
      <w:r w:rsidRPr="00374BE6">
        <w:rPr>
          <w:b/>
          <w:bCs/>
        </w:rPr>
        <w:t>Study Selection and Characteristics</w:t>
      </w:r>
    </w:p>
    <w:p w14:paraId="66D63AB0" w14:textId="77777777" w:rsidR="00374BE6" w:rsidRPr="00CA4C17" w:rsidRDefault="00374BE6" w:rsidP="00374BE6">
      <w:r w:rsidRPr="00CA4C17">
        <w:t xml:space="preserve">The literature search identified 342 records, of which 18 studies (17 retrospective, 1 prospective) involving 1,158 patients met the inclusion criteria (Figure 1). Study characteristics are summarized in Table 1. Median age ranged from 62 to 75 years, and most patients had ECOG performance status of 0-1. Skeletal metastases were present in 82-100% of patients, lymph node metastases in 53-95%, and visceral metastases in 0-62%. Prior treatments varied widely: ADT (65-100%), </w:t>
      </w:r>
      <w:proofErr w:type="spellStart"/>
      <w:r w:rsidRPr="00CA4C17">
        <w:t>ARPi</w:t>
      </w:r>
      <w:proofErr w:type="spellEnd"/>
      <w:r w:rsidRPr="00CA4C17">
        <w:t xml:space="preserve"> (0-100%), </w:t>
      </w:r>
      <w:proofErr w:type="spellStart"/>
      <w:r w:rsidRPr="00CA4C17">
        <w:t>taxane</w:t>
      </w:r>
      <w:proofErr w:type="spellEnd"/>
      <w:r w:rsidRPr="00CA4C17">
        <w:t>-based chemotherapy (0-100%), and Lu-177-PSMA RLT (0-100%). Treatment regimens primarily involved [225</w:t>
      </w:r>
      <w:proofErr w:type="gramStart"/>
      <w:r w:rsidRPr="00CA4C17">
        <w:t>Ac]Ac</w:t>
      </w:r>
      <w:proofErr w:type="gramEnd"/>
      <w:r w:rsidRPr="00CA4C17">
        <w:t>-PSMA-617 or [225</w:t>
      </w:r>
      <w:proofErr w:type="gramStart"/>
      <w:r w:rsidRPr="00CA4C17">
        <w:t>Ac]Ac</w:t>
      </w:r>
      <w:proofErr w:type="gramEnd"/>
      <w:r w:rsidRPr="00CA4C17">
        <w:t xml:space="preserve">-PSMA-I&amp;T, with doses of 6-8 MBq or 100-150 </w:t>
      </w:r>
      <w:proofErr w:type="spellStart"/>
      <w:r w:rsidRPr="00CA4C17">
        <w:t>kBq</w:t>
      </w:r>
      <w:proofErr w:type="spellEnd"/>
      <w:r w:rsidRPr="00CA4C17">
        <w:t>/kg every 8-13 weeks (median 1-4 cycles).</w:t>
      </w:r>
    </w:p>
    <w:p w14:paraId="43966B65" w14:textId="77777777" w:rsidR="00374BE6" w:rsidRPr="00374BE6" w:rsidRDefault="00374BE6" w:rsidP="00374BE6">
      <w:pPr>
        <w:rPr>
          <w:b/>
          <w:bCs/>
        </w:rPr>
      </w:pPr>
      <w:r w:rsidRPr="00374BE6">
        <w:rPr>
          <w:b/>
          <w:bCs/>
        </w:rPr>
        <w:t>Efficacy Outcomes</w:t>
      </w:r>
    </w:p>
    <w:p w14:paraId="7CA2EC63" w14:textId="77777777" w:rsidR="00374BE6" w:rsidRPr="00CA4C17" w:rsidRDefault="00374BE6" w:rsidP="00374BE6">
      <w:r w:rsidRPr="00CA4C17">
        <w:t>The pooled PSA50 response rate across studies was 65% (95% CI 57-73%) (Figure 2). Subgroup analyses (Table 2) revealed significant differences based on prior treatments:</w:t>
      </w:r>
    </w:p>
    <w:p w14:paraId="115384FC" w14:textId="77777777" w:rsidR="00374BE6" w:rsidRPr="00CA4C17" w:rsidRDefault="00374BE6" w:rsidP="00374BE6">
      <w:pPr>
        <w:numPr>
          <w:ilvl w:val="0"/>
          <w:numId w:val="3"/>
        </w:numPr>
      </w:pPr>
      <w:r w:rsidRPr="00CA4C17">
        <w:t>Lines of therapy: PSA50 rates were 78% (231/295) with 0 prior lines, 64% (120/188) with 1 line, and 54% (285/524) with ≥2 lines (p&lt;0.0001) (Figure 3).</w:t>
      </w:r>
    </w:p>
    <w:p w14:paraId="4C216421" w14:textId="77777777" w:rsidR="00374BE6" w:rsidRPr="00CA4C17" w:rsidRDefault="00374BE6" w:rsidP="00374BE6">
      <w:pPr>
        <w:numPr>
          <w:ilvl w:val="0"/>
          <w:numId w:val="3"/>
        </w:numPr>
      </w:pPr>
      <w:r w:rsidRPr="00CA4C17">
        <w:t xml:space="preserve">Prior </w:t>
      </w:r>
      <w:proofErr w:type="spellStart"/>
      <w:r w:rsidRPr="00CA4C17">
        <w:t>ARPi</w:t>
      </w:r>
      <w:proofErr w:type="spellEnd"/>
      <w:r w:rsidRPr="00CA4C17">
        <w:t xml:space="preserve">: 72% (364/507) without vs. 54.5% (218/400) with </w:t>
      </w:r>
      <w:proofErr w:type="spellStart"/>
      <w:r w:rsidRPr="00CA4C17">
        <w:t>ARPi</w:t>
      </w:r>
      <w:proofErr w:type="spellEnd"/>
      <w:r w:rsidRPr="00CA4C17">
        <w:t xml:space="preserve"> (p&lt;0.0001) (Figure 4).</w:t>
      </w:r>
    </w:p>
    <w:p w14:paraId="380B22C0" w14:textId="77777777" w:rsidR="00374BE6" w:rsidRPr="00CA4C17" w:rsidRDefault="00374BE6" w:rsidP="00374BE6">
      <w:pPr>
        <w:numPr>
          <w:ilvl w:val="0"/>
          <w:numId w:val="3"/>
        </w:numPr>
      </w:pPr>
      <w:r w:rsidRPr="00CA4C17">
        <w:t xml:space="preserve">Prior </w:t>
      </w:r>
      <w:proofErr w:type="spellStart"/>
      <w:r w:rsidRPr="00CA4C17">
        <w:t>taxane</w:t>
      </w:r>
      <w:proofErr w:type="spellEnd"/>
      <w:r w:rsidRPr="00CA4C17">
        <w:t>-based chemotherapy: 74% (266/361) without vs. 58% (295/505) with (p&lt;0.0001) (Figure 5).</w:t>
      </w:r>
    </w:p>
    <w:p w14:paraId="1E40F4A5" w14:textId="77777777" w:rsidR="00374BE6" w:rsidRPr="00CA4C17" w:rsidRDefault="00374BE6" w:rsidP="00374BE6">
      <w:pPr>
        <w:numPr>
          <w:ilvl w:val="0"/>
          <w:numId w:val="3"/>
        </w:numPr>
      </w:pPr>
      <w:r w:rsidRPr="00CA4C17">
        <w:t>Prior Lu-177-PSMA RLT: 70% (467/665) without vs. 50% (150/299) with (p&lt;0.0001) (Figure 6).</w:t>
      </w:r>
    </w:p>
    <w:p w14:paraId="3CF63010" w14:textId="77777777" w:rsidR="00374BE6" w:rsidRPr="00CA4C17" w:rsidRDefault="00374BE6" w:rsidP="00374BE6">
      <w:pPr>
        <w:numPr>
          <w:ilvl w:val="0"/>
          <w:numId w:val="3"/>
        </w:numPr>
      </w:pPr>
      <w:r w:rsidRPr="00CA4C17">
        <w:t>Visceral metastases: Lower PSA50 rates were observed in patients with visceral metastases (Figure 7).</w:t>
      </w:r>
    </w:p>
    <w:p w14:paraId="4B9EB2A6" w14:textId="77777777" w:rsidR="00374BE6" w:rsidRPr="00CA4C17" w:rsidRDefault="00374BE6" w:rsidP="00374BE6">
      <w:r w:rsidRPr="00CA4C17">
        <w:t>Median PFS ranged from 3 months (Selcuk et al., 2023) to 15 months (</w:t>
      </w:r>
      <w:proofErr w:type="spellStart"/>
      <w:r w:rsidRPr="00CA4C17">
        <w:t>Sathekge</w:t>
      </w:r>
      <w:proofErr w:type="spellEnd"/>
      <w:r w:rsidRPr="00CA4C17">
        <w:t xml:space="preserve"> et al., 2019), with 95% CIs reported in 10 studies (3.5-15 months). Median OS ranged from 8 months (Selcuk et al., 2023) to 31 months (</w:t>
      </w:r>
      <w:proofErr w:type="spellStart"/>
      <w:r w:rsidRPr="00CA4C17">
        <w:t>Sathekge</w:t>
      </w:r>
      <w:proofErr w:type="spellEnd"/>
      <w:r w:rsidRPr="00CA4C17">
        <w:t xml:space="preserve"> et al., 2023), with 95% CIs in 11 studies (8-20 months).</w:t>
      </w:r>
    </w:p>
    <w:p w14:paraId="2238662B" w14:textId="77777777" w:rsidR="00374BE6" w:rsidRPr="00374BE6" w:rsidRDefault="00374BE6" w:rsidP="00374BE6">
      <w:pPr>
        <w:rPr>
          <w:b/>
          <w:bCs/>
        </w:rPr>
      </w:pPr>
      <w:r w:rsidRPr="00374BE6">
        <w:rPr>
          <w:b/>
          <w:bCs/>
        </w:rPr>
        <w:t>Safety Outcomes</w:t>
      </w:r>
    </w:p>
    <w:p w14:paraId="68B44D9F" w14:textId="77777777" w:rsidR="00374BE6" w:rsidRPr="00CA4C17" w:rsidRDefault="00374BE6" w:rsidP="00374BE6">
      <w:r w:rsidRPr="00CA4C17">
        <w:t>Adverse events (Table 3) were reported across studies with varying sample sizes:</w:t>
      </w:r>
    </w:p>
    <w:p w14:paraId="6812A9F8" w14:textId="77777777" w:rsidR="00374BE6" w:rsidRPr="00CA4C17" w:rsidRDefault="00374BE6" w:rsidP="00374BE6">
      <w:pPr>
        <w:numPr>
          <w:ilvl w:val="0"/>
          <w:numId w:val="4"/>
        </w:numPr>
      </w:pPr>
      <w:r w:rsidRPr="00CA4C17">
        <w:t>Xerostomia: 77% (365/477) any grade, 2% (7/477) severe.</w:t>
      </w:r>
    </w:p>
    <w:p w14:paraId="2F0F8DCD" w14:textId="77777777" w:rsidR="00374BE6" w:rsidRPr="00CA4C17" w:rsidRDefault="00374BE6" w:rsidP="00374BE6">
      <w:pPr>
        <w:numPr>
          <w:ilvl w:val="0"/>
          <w:numId w:val="4"/>
        </w:numPr>
      </w:pPr>
      <w:proofErr w:type="spellStart"/>
      <w:r w:rsidRPr="00CA4C17">
        <w:lastRenderedPageBreak/>
        <w:t>Anemia</w:t>
      </w:r>
      <w:proofErr w:type="spellEnd"/>
      <w:r w:rsidRPr="00CA4C17">
        <w:t>: 68% (634/937) any grade, 11% (100/937) severe.</w:t>
      </w:r>
    </w:p>
    <w:p w14:paraId="02BFAADF" w14:textId="77777777" w:rsidR="00374BE6" w:rsidRPr="00CA4C17" w:rsidRDefault="00374BE6" w:rsidP="00374BE6">
      <w:pPr>
        <w:numPr>
          <w:ilvl w:val="0"/>
          <w:numId w:val="4"/>
        </w:numPr>
      </w:pPr>
      <w:r w:rsidRPr="00CA4C17">
        <w:t>Fatigue: 61% (146/240) any grade, 2% (4/240) severe.</w:t>
      </w:r>
    </w:p>
    <w:p w14:paraId="0E0AE5BC" w14:textId="77777777" w:rsidR="00374BE6" w:rsidRPr="00CA4C17" w:rsidRDefault="00374BE6" w:rsidP="00374BE6">
      <w:pPr>
        <w:numPr>
          <w:ilvl w:val="0"/>
          <w:numId w:val="4"/>
        </w:numPr>
      </w:pPr>
      <w:r w:rsidRPr="00CA4C17">
        <w:t>Thrombocytopenia: 40% (374/937) any grade, 6% (52/937) severe.</w:t>
      </w:r>
    </w:p>
    <w:p w14:paraId="531C2408" w14:textId="77777777" w:rsidR="00374BE6" w:rsidRPr="00CA4C17" w:rsidRDefault="00374BE6" w:rsidP="00374BE6">
      <w:pPr>
        <w:numPr>
          <w:ilvl w:val="0"/>
          <w:numId w:val="4"/>
        </w:numPr>
      </w:pPr>
      <w:r w:rsidRPr="00CA4C17">
        <w:t>Renal impairment: 42% (334/793) any grade, 4% (33/793) severe.</w:t>
      </w:r>
    </w:p>
    <w:p w14:paraId="799F235D" w14:textId="77777777" w:rsidR="00374BE6" w:rsidRPr="00CA4C17" w:rsidRDefault="00374BE6" w:rsidP="00374BE6">
      <w:pPr>
        <w:numPr>
          <w:ilvl w:val="0"/>
          <w:numId w:val="4"/>
        </w:numPr>
      </w:pPr>
      <w:r w:rsidRPr="00CA4C17">
        <w:t>Leukopenia: 36% (335/937) any grade, 4% (40/937) severe.</w:t>
      </w:r>
    </w:p>
    <w:p w14:paraId="691CAC88" w14:textId="77777777" w:rsidR="00374BE6" w:rsidRPr="00CA4C17" w:rsidRDefault="00374BE6" w:rsidP="00374BE6">
      <w:pPr>
        <w:numPr>
          <w:ilvl w:val="0"/>
          <w:numId w:val="4"/>
        </w:numPr>
      </w:pPr>
      <w:r w:rsidRPr="00CA4C17">
        <w:t>Nausea: 27% (60/224) any grade, 0% severe.</w:t>
      </w:r>
    </w:p>
    <w:p w14:paraId="0C13C017" w14:textId="77777777" w:rsidR="00374BE6" w:rsidRPr="00CA4C17" w:rsidRDefault="00374BE6" w:rsidP="00374BE6">
      <w:pPr>
        <w:rPr>
          <w:b/>
          <w:bCs/>
          <w:sz w:val="28"/>
          <w:szCs w:val="28"/>
        </w:rPr>
      </w:pPr>
      <w:r w:rsidRPr="00CA4C17">
        <w:rPr>
          <w:b/>
          <w:bCs/>
          <w:sz w:val="28"/>
          <w:szCs w:val="28"/>
        </w:rPr>
        <w:t>Discussion</w:t>
      </w:r>
    </w:p>
    <w:p w14:paraId="6CBCEE4C" w14:textId="77777777" w:rsidR="00374BE6" w:rsidRPr="00CA4C17" w:rsidRDefault="00374BE6" w:rsidP="00374BE6">
      <w:r w:rsidRPr="00CA4C17">
        <w:t xml:space="preserve">This systematic review and meta-analysis of 18 studies demonstrates that actinium-PSMA TAT is an effective treatment for metastatic prostate cancer, with a pooled PSA50 response rate of 65%. Efficacy was notably higher in patients with fewer prior treatments, suggesting that actinium-PSMA TAT may be most beneficial earlier in the disease course. For instance, patients with no prior lines of therapy achieved a 78% PSA50 rate, compared to 54% in those with ≥2 lines. Similarly, the absence of prior </w:t>
      </w:r>
      <w:proofErr w:type="spellStart"/>
      <w:r w:rsidRPr="00CA4C17">
        <w:t>ARPi</w:t>
      </w:r>
      <w:proofErr w:type="spellEnd"/>
      <w:r w:rsidRPr="00CA4C17">
        <w:t xml:space="preserve">, </w:t>
      </w:r>
      <w:proofErr w:type="spellStart"/>
      <w:r w:rsidRPr="00CA4C17">
        <w:t>taxane</w:t>
      </w:r>
      <w:proofErr w:type="spellEnd"/>
      <w:r w:rsidRPr="00CA4C17">
        <w:t>-based chemotherapy, or Lu-177-PSMA RLT was associated with improved responses, possibly reflecting less treatment-resistant disease. The presence of visceral metastases correlated with reduced efficacy, consistent with the aggressive biology of such lesions.</w:t>
      </w:r>
    </w:p>
    <w:p w14:paraId="270EBF70" w14:textId="77777777" w:rsidR="00374BE6" w:rsidRPr="00CA4C17" w:rsidRDefault="00374BE6" w:rsidP="00374BE6">
      <w:r w:rsidRPr="00CA4C17">
        <w:t xml:space="preserve">Survival outcomes varied widely, with median PFS and OS reflecting differences in patient populations, treatment regimens, and follow-up. Studies with less pretreated patients (e.g., </w:t>
      </w:r>
      <w:proofErr w:type="spellStart"/>
      <w:r w:rsidRPr="00CA4C17">
        <w:t>Sathekge</w:t>
      </w:r>
      <w:proofErr w:type="spellEnd"/>
      <w:r w:rsidRPr="00CA4C17">
        <w:t xml:space="preserve"> et al., 2022) reported longer survival, supporting the subgroup findings on PSA50.</w:t>
      </w:r>
    </w:p>
    <w:p w14:paraId="7BD2FFD4" w14:textId="77777777" w:rsidR="00374BE6" w:rsidRPr="00CA4C17" w:rsidRDefault="00374BE6" w:rsidP="00374BE6">
      <w:r w:rsidRPr="00CA4C17">
        <w:t xml:space="preserve">The safety profile is characterized by frequent but manageable adverse events, notably xerostomia (77%) and </w:t>
      </w:r>
      <w:proofErr w:type="spellStart"/>
      <w:r w:rsidRPr="00CA4C17">
        <w:t>anemia</w:t>
      </w:r>
      <w:proofErr w:type="spellEnd"/>
      <w:r w:rsidRPr="00CA4C17">
        <w:t xml:space="preserve"> (68%), with severe events occurring in ≤11% of cases. Compared to Lu-177-PSMA RLT, actinium-PSMA TAT may offer a distinct toxicity profile due to alpha particles’ shorter range, potentially reducing marrow suppression relative to </w:t>
      </w:r>
      <w:proofErr w:type="spellStart"/>
      <w:r w:rsidRPr="00CA4C17">
        <w:t>tumor</w:t>
      </w:r>
      <w:proofErr w:type="spellEnd"/>
      <w:r w:rsidRPr="00CA4C17">
        <w:t xml:space="preserve"> burden, though xerostomia remains a significant concern.</w:t>
      </w:r>
    </w:p>
    <w:p w14:paraId="68AD678B" w14:textId="77777777" w:rsidR="00374BE6" w:rsidRPr="00CA4C17" w:rsidRDefault="00374BE6" w:rsidP="00374BE6">
      <w:r w:rsidRPr="00CA4C17">
        <w:t>Limitations include the predominance of retrospective studies, heterogeneity in treatment protocols and patient characteristics, and incomplete survival data. Quality assessments indicated moderate risk of bias, primarily due to selection and reporting issues.</w:t>
      </w:r>
    </w:p>
    <w:p w14:paraId="5F6A1F54" w14:textId="77777777" w:rsidR="00374BE6" w:rsidRPr="00CA4C17" w:rsidRDefault="00374BE6" w:rsidP="00374BE6">
      <w:r w:rsidRPr="00CA4C17">
        <w:t xml:space="preserve">Future research should prioritize randomized controlled trials to confirm efficacy and safety, standardize dosing schedules (e.g., 8 MBq vs. 100 </w:t>
      </w:r>
      <w:proofErr w:type="spellStart"/>
      <w:r w:rsidRPr="00CA4C17">
        <w:t>kBq</w:t>
      </w:r>
      <w:proofErr w:type="spellEnd"/>
      <w:r w:rsidRPr="00CA4C17">
        <w:t xml:space="preserve">/kg), and explore combinations with </w:t>
      </w:r>
      <w:proofErr w:type="spellStart"/>
      <w:r w:rsidRPr="00CA4C17">
        <w:t>ARPi</w:t>
      </w:r>
      <w:proofErr w:type="spellEnd"/>
      <w:r w:rsidRPr="00CA4C17">
        <w:t xml:space="preserve"> or immunotherapy. Earlier use in the treatment algorithm also warrants investigation.</w:t>
      </w:r>
    </w:p>
    <w:p w14:paraId="0540BF92" w14:textId="77777777" w:rsidR="00374BE6" w:rsidRPr="00CA4C17" w:rsidRDefault="00374BE6" w:rsidP="00374BE6">
      <w:pPr>
        <w:rPr>
          <w:b/>
          <w:bCs/>
          <w:sz w:val="28"/>
          <w:szCs w:val="28"/>
        </w:rPr>
      </w:pPr>
      <w:r w:rsidRPr="00CA4C17">
        <w:rPr>
          <w:b/>
          <w:bCs/>
          <w:sz w:val="28"/>
          <w:szCs w:val="28"/>
        </w:rPr>
        <w:t>Conclusion</w:t>
      </w:r>
    </w:p>
    <w:p w14:paraId="200206A7" w14:textId="77777777" w:rsidR="00374BE6" w:rsidRPr="00CA4C17" w:rsidRDefault="00374BE6" w:rsidP="00374BE6">
      <w:r w:rsidRPr="00CA4C17">
        <w:t>Actinium-PSMA TAT offers promising efficacy and an acceptable safety profile for metastatic prostate cancer, particularly in patients with limited prior therapies. While these findings support its potential as a valuable therapeutic option, prospective trials are essential to solidify its role in clinical practice.</w:t>
      </w:r>
    </w:p>
    <w:p w14:paraId="29D8EBDC" w14:textId="77777777" w:rsidR="00B332DA" w:rsidRPr="00374BE6" w:rsidRDefault="00B332DA" w:rsidP="00374BE6"/>
    <w:sectPr w:rsidR="00B332DA" w:rsidRPr="00374BE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F5E1C"/>
    <w:multiLevelType w:val="multilevel"/>
    <w:tmpl w:val="27180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654A74"/>
    <w:multiLevelType w:val="multilevel"/>
    <w:tmpl w:val="312CD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A1432A1"/>
    <w:multiLevelType w:val="multilevel"/>
    <w:tmpl w:val="F7C4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0C24A3"/>
    <w:multiLevelType w:val="multilevel"/>
    <w:tmpl w:val="7DE64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3363261">
    <w:abstractNumId w:val="0"/>
  </w:num>
  <w:num w:numId="2" w16cid:durableId="1638488885">
    <w:abstractNumId w:val="3"/>
  </w:num>
  <w:num w:numId="3" w16cid:durableId="868445645">
    <w:abstractNumId w:val="2"/>
  </w:num>
  <w:num w:numId="4" w16cid:durableId="536236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2DA"/>
    <w:rsid w:val="00374BE6"/>
    <w:rsid w:val="00575F0E"/>
    <w:rsid w:val="00B332DA"/>
    <w:rsid w:val="00CA4C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D8E3F"/>
  <w15:chartTrackingRefBased/>
  <w15:docId w15:val="{786B856E-7346-4FBE-B8BE-B2B135C32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33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33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332DA"/>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332DA"/>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332DA"/>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332DA"/>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332DA"/>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332DA"/>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332DA"/>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332DA"/>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332DA"/>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332DA"/>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332DA"/>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332DA"/>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332DA"/>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332DA"/>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332DA"/>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332DA"/>
    <w:rPr>
      <w:rFonts w:eastAsiaTheme="majorEastAsia" w:cstheme="majorBidi"/>
      <w:color w:val="272727" w:themeColor="text1" w:themeTint="D8"/>
    </w:rPr>
  </w:style>
  <w:style w:type="paragraph" w:styleId="Titolo">
    <w:name w:val="Title"/>
    <w:basedOn w:val="Normale"/>
    <w:next w:val="Normale"/>
    <w:link w:val="TitoloCarattere"/>
    <w:uiPriority w:val="10"/>
    <w:qFormat/>
    <w:rsid w:val="00B332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332DA"/>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332DA"/>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332DA"/>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332DA"/>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332DA"/>
    <w:rPr>
      <w:i/>
      <w:iCs/>
      <w:color w:val="404040" w:themeColor="text1" w:themeTint="BF"/>
    </w:rPr>
  </w:style>
  <w:style w:type="paragraph" w:styleId="Paragrafoelenco">
    <w:name w:val="List Paragraph"/>
    <w:basedOn w:val="Normale"/>
    <w:uiPriority w:val="34"/>
    <w:qFormat/>
    <w:rsid w:val="00B332DA"/>
    <w:pPr>
      <w:ind w:left="720"/>
      <w:contextualSpacing/>
    </w:pPr>
  </w:style>
  <w:style w:type="character" w:styleId="Enfasiintensa">
    <w:name w:val="Intense Emphasis"/>
    <w:basedOn w:val="Carpredefinitoparagrafo"/>
    <w:uiPriority w:val="21"/>
    <w:qFormat/>
    <w:rsid w:val="00B332DA"/>
    <w:rPr>
      <w:i/>
      <w:iCs/>
      <w:color w:val="0F4761" w:themeColor="accent1" w:themeShade="BF"/>
    </w:rPr>
  </w:style>
  <w:style w:type="paragraph" w:styleId="Citazioneintensa">
    <w:name w:val="Intense Quote"/>
    <w:basedOn w:val="Normale"/>
    <w:next w:val="Normale"/>
    <w:link w:val="CitazioneintensaCarattere"/>
    <w:uiPriority w:val="30"/>
    <w:qFormat/>
    <w:rsid w:val="00B33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332DA"/>
    <w:rPr>
      <w:i/>
      <w:iCs/>
      <w:color w:val="0F4761" w:themeColor="accent1" w:themeShade="BF"/>
    </w:rPr>
  </w:style>
  <w:style w:type="character" w:styleId="Riferimentointenso">
    <w:name w:val="Intense Reference"/>
    <w:basedOn w:val="Carpredefinitoparagrafo"/>
    <w:uiPriority w:val="32"/>
    <w:qFormat/>
    <w:rsid w:val="00B332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5439">
      <w:bodyDiv w:val="1"/>
      <w:marLeft w:val="0"/>
      <w:marRight w:val="0"/>
      <w:marTop w:val="0"/>
      <w:marBottom w:val="0"/>
      <w:divBdr>
        <w:top w:val="none" w:sz="0" w:space="0" w:color="auto"/>
        <w:left w:val="none" w:sz="0" w:space="0" w:color="auto"/>
        <w:bottom w:val="none" w:sz="0" w:space="0" w:color="auto"/>
        <w:right w:val="none" w:sz="0" w:space="0" w:color="auto"/>
      </w:divBdr>
      <w:divsChild>
        <w:div w:id="1793745677">
          <w:marLeft w:val="0"/>
          <w:marRight w:val="0"/>
          <w:marTop w:val="0"/>
          <w:marBottom w:val="0"/>
          <w:divBdr>
            <w:top w:val="none" w:sz="0" w:space="0" w:color="auto"/>
            <w:left w:val="none" w:sz="0" w:space="0" w:color="auto"/>
            <w:bottom w:val="none" w:sz="0" w:space="0" w:color="auto"/>
            <w:right w:val="none" w:sz="0" w:space="0" w:color="auto"/>
          </w:divBdr>
          <w:divsChild>
            <w:div w:id="694775181">
              <w:marLeft w:val="0"/>
              <w:marRight w:val="0"/>
              <w:marTop w:val="0"/>
              <w:marBottom w:val="120"/>
              <w:divBdr>
                <w:top w:val="single" w:sz="2" w:space="0" w:color="000000"/>
                <w:left w:val="single" w:sz="2" w:space="0" w:color="000000"/>
                <w:bottom w:val="single" w:sz="2" w:space="0" w:color="000000"/>
                <w:right w:val="single" w:sz="2" w:space="0" w:color="000000"/>
              </w:divBdr>
            </w:div>
            <w:div w:id="1946420421">
              <w:marLeft w:val="0"/>
              <w:marRight w:val="0"/>
              <w:marTop w:val="384"/>
              <w:marBottom w:val="120"/>
              <w:divBdr>
                <w:top w:val="single" w:sz="2" w:space="0" w:color="000000"/>
                <w:left w:val="single" w:sz="2" w:space="0" w:color="000000"/>
                <w:bottom w:val="single" w:sz="2" w:space="0" w:color="000000"/>
                <w:right w:val="single" w:sz="2" w:space="0" w:color="000000"/>
              </w:divBdr>
            </w:div>
            <w:div w:id="1874540746">
              <w:marLeft w:val="0"/>
              <w:marRight w:val="0"/>
              <w:marTop w:val="0"/>
              <w:marBottom w:val="0"/>
              <w:divBdr>
                <w:top w:val="single" w:sz="2" w:space="0" w:color="000000"/>
                <w:left w:val="single" w:sz="2" w:space="0" w:color="000000"/>
                <w:bottom w:val="single" w:sz="2" w:space="0" w:color="000000"/>
                <w:right w:val="single" w:sz="2" w:space="0" w:color="000000"/>
              </w:divBdr>
            </w:div>
            <w:div w:id="1005329789">
              <w:marLeft w:val="0"/>
              <w:marRight w:val="0"/>
              <w:marTop w:val="0"/>
              <w:marBottom w:val="0"/>
              <w:divBdr>
                <w:top w:val="single" w:sz="2" w:space="0" w:color="000000"/>
                <w:left w:val="single" w:sz="2" w:space="0" w:color="000000"/>
                <w:bottom w:val="single" w:sz="2" w:space="0" w:color="000000"/>
                <w:right w:val="single" w:sz="2" w:space="0" w:color="000000"/>
              </w:divBdr>
            </w:div>
            <w:div w:id="1204439772">
              <w:marLeft w:val="0"/>
              <w:marRight w:val="0"/>
              <w:marTop w:val="0"/>
              <w:marBottom w:val="0"/>
              <w:divBdr>
                <w:top w:val="single" w:sz="2" w:space="0" w:color="000000"/>
                <w:left w:val="single" w:sz="2" w:space="0" w:color="000000"/>
                <w:bottom w:val="single" w:sz="2" w:space="0" w:color="000000"/>
                <w:right w:val="single" w:sz="2" w:space="0" w:color="000000"/>
              </w:divBdr>
            </w:div>
            <w:div w:id="1949897274">
              <w:marLeft w:val="0"/>
              <w:marRight w:val="0"/>
              <w:marTop w:val="0"/>
              <w:marBottom w:val="0"/>
              <w:divBdr>
                <w:top w:val="single" w:sz="2" w:space="0" w:color="000000"/>
                <w:left w:val="single" w:sz="2" w:space="0" w:color="000000"/>
                <w:bottom w:val="single" w:sz="2" w:space="0" w:color="000000"/>
                <w:right w:val="single" w:sz="2" w:space="0" w:color="000000"/>
              </w:divBdr>
            </w:div>
            <w:div w:id="1279797294">
              <w:marLeft w:val="0"/>
              <w:marRight w:val="0"/>
              <w:marTop w:val="384"/>
              <w:marBottom w:val="120"/>
              <w:divBdr>
                <w:top w:val="single" w:sz="2" w:space="0" w:color="000000"/>
                <w:left w:val="single" w:sz="2" w:space="0" w:color="000000"/>
                <w:bottom w:val="single" w:sz="2" w:space="0" w:color="000000"/>
                <w:right w:val="single" w:sz="2" w:space="0" w:color="000000"/>
              </w:divBdr>
            </w:div>
            <w:div w:id="221403993">
              <w:marLeft w:val="0"/>
              <w:marRight w:val="0"/>
              <w:marTop w:val="0"/>
              <w:marBottom w:val="0"/>
              <w:divBdr>
                <w:top w:val="single" w:sz="2" w:space="0" w:color="000000"/>
                <w:left w:val="single" w:sz="2" w:space="0" w:color="000000"/>
                <w:bottom w:val="single" w:sz="2" w:space="0" w:color="000000"/>
                <w:right w:val="single" w:sz="2" w:space="0" w:color="000000"/>
              </w:divBdr>
            </w:div>
            <w:div w:id="387656605">
              <w:marLeft w:val="0"/>
              <w:marRight w:val="0"/>
              <w:marTop w:val="0"/>
              <w:marBottom w:val="0"/>
              <w:divBdr>
                <w:top w:val="single" w:sz="2" w:space="0" w:color="000000"/>
                <w:left w:val="single" w:sz="2" w:space="0" w:color="000000"/>
                <w:bottom w:val="single" w:sz="2" w:space="0" w:color="000000"/>
                <w:right w:val="single" w:sz="2" w:space="0" w:color="000000"/>
              </w:divBdr>
            </w:div>
            <w:div w:id="847135448">
              <w:marLeft w:val="0"/>
              <w:marRight w:val="0"/>
              <w:marTop w:val="0"/>
              <w:marBottom w:val="0"/>
              <w:divBdr>
                <w:top w:val="single" w:sz="2" w:space="0" w:color="000000"/>
                <w:left w:val="single" w:sz="2" w:space="0" w:color="000000"/>
                <w:bottom w:val="single" w:sz="2" w:space="0" w:color="000000"/>
                <w:right w:val="single" w:sz="2" w:space="0" w:color="000000"/>
              </w:divBdr>
            </w:div>
            <w:div w:id="61372885">
              <w:marLeft w:val="0"/>
              <w:marRight w:val="0"/>
              <w:marTop w:val="384"/>
              <w:marBottom w:val="120"/>
              <w:divBdr>
                <w:top w:val="single" w:sz="2" w:space="0" w:color="000000"/>
                <w:left w:val="single" w:sz="2" w:space="0" w:color="000000"/>
                <w:bottom w:val="single" w:sz="2" w:space="0" w:color="000000"/>
                <w:right w:val="single" w:sz="2" w:space="0" w:color="000000"/>
              </w:divBdr>
            </w:div>
            <w:div w:id="452750217">
              <w:marLeft w:val="0"/>
              <w:marRight w:val="0"/>
              <w:marTop w:val="312"/>
              <w:marBottom w:val="144"/>
              <w:divBdr>
                <w:top w:val="single" w:sz="2" w:space="0" w:color="000000"/>
                <w:left w:val="single" w:sz="2" w:space="0" w:color="000000"/>
                <w:bottom w:val="single" w:sz="2" w:space="0" w:color="000000"/>
                <w:right w:val="single" w:sz="2" w:space="0" w:color="000000"/>
              </w:divBdr>
            </w:div>
            <w:div w:id="69816934">
              <w:marLeft w:val="0"/>
              <w:marRight w:val="0"/>
              <w:marTop w:val="0"/>
              <w:marBottom w:val="0"/>
              <w:divBdr>
                <w:top w:val="single" w:sz="2" w:space="0" w:color="000000"/>
                <w:left w:val="single" w:sz="2" w:space="0" w:color="000000"/>
                <w:bottom w:val="single" w:sz="2" w:space="0" w:color="000000"/>
                <w:right w:val="single" w:sz="2" w:space="0" w:color="000000"/>
              </w:divBdr>
            </w:div>
            <w:div w:id="610433318">
              <w:marLeft w:val="0"/>
              <w:marRight w:val="0"/>
              <w:marTop w:val="312"/>
              <w:marBottom w:val="144"/>
              <w:divBdr>
                <w:top w:val="single" w:sz="2" w:space="0" w:color="000000"/>
                <w:left w:val="single" w:sz="2" w:space="0" w:color="000000"/>
                <w:bottom w:val="single" w:sz="2" w:space="0" w:color="000000"/>
                <w:right w:val="single" w:sz="2" w:space="0" w:color="000000"/>
              </w:divBdr>
            </w:div>
            <w:div w:id="1457529758">
              <w:marLeft w:val="0"/>
              <w:marRight w:val="0"/>
              <w:marTop w:val="0"/>
              <w:marBottom w:val="0"/>
              <w:divBdr>
                <w:top w:val="single" w:sz="2" w:space="0" w:color="000000"/>
                <w:left w:val="single" w:sz="2" w:space="0" w:color="000000"/>
                <w:bottom w:val="single" w:sz="2" w:space="0" w:color="000000"/>
                <w:right w:val="single" w:sz="2" w:space="0" w:color="000000"/>
              </w:divBdr>
            </w:div>
            <w:div w:id="1709603788">
              <w:marLeft w:val="0"/>
              <w:marRight w:val="0"/>
              <w:marTop w:val="312"/>
              <w:marBottom w:val="144"/>
              <w:divBdr>
                <w:top w:val="single" w:sz="2" w:space="0" w:color="000000"/>
                <w:left w:val="single" w:sz="2" w:space="0" w:color="000000"/>
                <w:bottom w:val="single" w:sz="2" w:space="0" w:color="000000"/>
                <w:right w:val="single" w:sz="2" w:space="0" w:color="000000"/>
              </w:divBdr>
            </w:div>
            <w:div w:id="1832597422">
              <w:marLeft w:val="0"/>
              <w:marRight w:val="0"/>
              <w:marTop w:val="0"/>
              <w:marBottom w:val="0"/>
              <w:divBdr>
                <w:top w:val="single" w:sz="2" w:space="0" w:color="000000"/>
                <w:left w:val="single" w:sz="2" w:space="0" w:color="000000"/>
                <w:bottom w:val="single" w:sz="2" w:space="0" w:color="000000"/>
                <w:right w:val="single" w:sz="2" w:space="0" w:color="000000"/>
              </w:divBdr>
            </w:div>
            <w:div w:id="949623459">
              <w:marLeft w:val="0"/>
              <w:marRight w:val="0"/>
              <w:marTop w:val="312"/>
              <w:marBottom w:val="144"/>
              <w:divBdr>
                <w:top w:val="single" w:sz="2" w:space="0" w:color="000000"/>
                <w:left w:val="single" w:sz="2" w:space="0" w:color="000000"/>
                <w:bottom w:val="single" w:sz="2" w:space="0" w:color="000000"/>
                <w:right w:val="single" w:sz="2" w:space="0" w:color="000000"/>
              </w:divBdr>
            </w:div>
            <w:div w:id="1887523984">
              <w:marLeft w:val="0"/>
              <w:marRight w:val="0"/>
              <w:marTop w:val="0"/>
              <w:marBottom w:val="0"/>
              <w:divBdr>
                <w:top w:val="single" w:sz="2" w:space="0" w:color="000000"/>
                <w:left w:val="single" w:sz="2" w:space="0" w:color="000000"/>
                <w:bottom w:val="single" w:sz="2" w:space="0" w:color="000000"/>
                <w:right w:val="single" w:sz="2" w:space="0" w:color="000000"/>
              </w:divBdr>
            </w:div>
            <w:div w:id="1026784984">
              <w:marLeft w:val="0"/>
              <w:marRight w:val="0"/>
              <w:marTop w:val="312"/>
              <w:marBottom w:val="144"/>
              <w:divBdr>
                <w:top w:val="single" w:sz="2" w:space="0" w:color="000000"/>
                <w:left w:val="single" w:sz="2" w:space="0" w:color="000000"/>
                <w:bottom w:val="single" w:sz="2" w:space="0" w:color="000000"/>
                <w:right w:val="single" w:sz="2" w:space="0" w:color="000000"/>
              </w:divBdr>
            </w:div>
            <w:div w:id="1100956723">
              <w:marLeft w:val="0"/>
              <w:marRight w:val="0"/>
              <w:marTop w:val="0"/>
              <w:marBottom w:val="0"/>
              <w:divBdr>
                <w:top w:val="single" w:sz="2" w:space="0" w:color="000000"/>
                <w:left w:val="single" w:sz="2" w:space="0" w:color="000000"/>
                <w:bottom w:val="single" w:sz="2" w:space="0" w:color="000000"/>
                <w:right w:val="single" w:sz="2" w:space="0" w:color="000000"/>
              </w:divBdr>
            </w:div>
            <w:div w:id="1772236766">
              <w:marLeft w:val="0"/>
              <w:marRight w:val="0"/>
              <w:marTop w:val="384"/>
              <w:marBottom w:val="120"/>
              <w:divBdr>
                <w:top w:val="single" w:sz="2" w:space="0" w:color="000000"/>
                <w:left w:val="single" w:sz="2" w:space="0" w:color="000000"/>
                <w:bottom w:val="single" w:sz="2" w:space="0" w:color="000000"/>
                <w:right w:val="single" w:sz="2" w:space="0" w:color="000000"/>
              </w:divBdr>
            </w:div>
            <w:div w:id="1621109602">
              <w:marLeft w:val="0"/>
              <w:marRight w:val="0"/>
              <w:marTop w:val="312"/>
              <w:marBottom w:val="144"/>
              <w:divBdr>
                <w:top w:val="single" w:sz="2" w:space="0" w:color="000000"/>
                <w:left w:val="single" w:sz="2" w:space="0" w:color="000000"/>
                <w:bottom w:val="single" w:sz="2" w:space="0" w:color="000000"/>
                <w:right w:val="single" w:sz="2" w:space="0" w:color="000000"/>
              </w:divBdr>
            </w:div>
            <w:div w:id="1437481573">
              <w:marLeft w:val="0"/>
              <w:marRight w:val="0"/>
              <w:marTop w:val="0"/>
              <w:marBottom w:val="0"/>
              <w:divBdr>
                <w:top w:val="single" w:sz="2" w:space="0" w:color="000000"/>
                <w:left w:val="single" w:sz="2" w:space="0" w:color="000000"/>
                <w:bottom w:val="single" w:sz="2" w:space="0" w:color="000000"/>
                <w:right w:val="single" w:sz="2" w:space="0" w:color="000000"/>
              </w:divBdr>
            </w:div>
            <w:div w:id="1055544760">
              <w:marLeft w:val="0"/>
              <w:marRight w:val="0"/>
              <w:marTop w:val="312"/>
              <w:marBottom w:val="144"/>
              <w:divBdr>
                <w:top w:val="single" w:sz="2" w:space="0" w:color="000000"/>
                <w:left w:val="single" w:sz="2" w:space="0" w:color="000000"/>
                <w:bottom w:val="single" w:sz="2" w:space="0" w:color="000000"/>
                <w:right w:val="single" w:sz="2" w:space="0" w:color="000000"/>
              </w:divBdr>
            </w:div>
            <w:div w:id="392311766">
              <w:marLeft w:val="0"/>
              <w:marRight w:val="0"/>
              <w:marTop w:val="0"/>
              <w:marBottom w:val="0"/>
              <w:divBdr>
                <w:top w:val="single" w:sz="2" w:space="0" w:color="000000"/>
                <w:left w:val="single" w:sz="2" w:space="0" w:color="000000"/>
                <w:bottom w:val="single" w:sz="2" w:space="0" w:color="000000"/>
                <w:right w:val="single" w:sz="2" w:space="0" w:color="000000"/>
              </w:divBdr>
            </w:div>
            <w:div w:id="1152024190">
              <w:marLeft w:val="0"/>
              <w:marRight w:val="0"/>
              <w:marTop w:val="0"/>
              <w:marBottom w:val="0"/>
              <w:divBdr>
                <w:top w:val="single" w:sz="2" w:space="0" w:color="000000"/>
                <w:left w:val="single" w:sz="2" w:space="0" w:color="000000"/>
                <w:bottom w:val="single" w:sz="2" w:space="0" w:color="000000"/>
                <w:right w:val="single" w:sz="2" w:space="0" w:color="000000"/>
              </w:divBdr>
            </w:div>
            <w:div w:id="1328480892">
              <w:marLeft w:val="0"/>
              <w:marRight w:val="0"/>
              <w:marTop w:val="0"/>
              <w:marBottom w:val="0"/>
              <w:divBdr>
                <w:top w:val="single" w:sz="2" w:space="0" w:color="000000"/>
                <w:left w:val="single" w:sz="2" w:space="0" w:color="000000"/>
                <w:bottom w:val="single" w:sz="2" w:space="0" w:color="000000"/>
                <w:right w:val="single" w:sz="2" w:space="0" w:color="000000"/>
              </w:divBdr>
            </w:div>
            <w:div w:id="1267230606">
              <w:marLeft w:val="0"/>
              <w:marRight w:val="0"/>
              <w:marTop w:val="0"/>
              <w:marBottom w:val="0"/>
              <w:divBdr>
                <w:top w:val="single" w:sz="2" w:space="0" w:color="000000"/>
                <w:left w:val="single" w:sz="2" w:space="0" w:color="000000"/>
                <w:bottom w:val="single" w:sz="2" w:space="0" w:color="000000"/>
                <w:right w:val="single" w:sz="2" w:space="0" w:color="000000"/>
              </w:divBdr>
            </w:div>
            <w:div w:id="1410081084">
              <w:marLeft w:val="0"/>
              <w:marRight w:val="0"/>
              <w:marTop w:val="0"/>
              <w:marBottom w:val="0"/>
              <w:divBdr>
                <w:top w:val="single" w:sz="2" w:space="0" w:color="000000"/>
                <w:left w:val="single" w:sz="2" w:space="0" w:color="000000"/>
                <w:bottom w:val="single" w:sz="2" w:space="0" w:color="000000"/>
                <w:right w:val="single" w:sz="2" w:space="0" w:color="000000"/>
              </w:divBdr>
            </w:div>
            <w:div w:id="259030657">
              <w:marLeft w:val="0"/>
              <w:marRight w:val="0"/>
              <w:marTop w:val="0"/>
              <w:marBottom w:val="0"/>
              <w:divBdr>
                <w:top w:val="single" w:sz="2" w:space="0" w:color="000000"/>
                <w:left w:val="single" w:sz="2" w:space="0" w:color="000000"/>
                <w:bottom w:val="single" w:sz="2" w:space="0" w:color="000000"/>
                <w:right w:val="single" w:sz="2" w:space="0" w:color="000000"/>
              </w:divBdr>
            </w:div>
            <w:div w:id="1504315000">
              <w:marLeft w:val="0"/>
              <w:marRight w:val="0"/>
              <w:marTop w:val="0"/>
              <w:marBottom w:val="0"/>
              <w:divBdr>
                <w:top w:val="single" w:sz="2" w:space="0" w:color="000000"/>
                <w:left w:val="single" w:sz="2" w:space="0" w:color="000000"/>
                <w:bottom w:val="single" w:sz="2" w:space="0" w:color="000000"/>
                <w:right w:val="single" w:sz="2" w:space="0" w:color="000000"/>
              </w:divBdr>
            </w:div>
            <w:div w:id="839273165">
              <w:marLeft w:val="0"/>
              <w:marRight w:val="0"/>
              <w:marTop w:val="312"/>
              <w:marBottom w:val="144"/>
              <w:divBdr>
                <w:top w:val="single" w:sz="2" w:space="0" w:color="000000"/>
                <w:left w:val="single" w:sz="2" w:space="0" w:color="000000"/>
                <w:bottom w:val="single" w:sz="2" w:space="0" w:color="000000"/>
                <w:right w:val="single" w:sz="2" w:space="0" w:color="000000"/>
              </w:divBdr>
            </w:div>
            <w:div w:id="664474456">
              <w:marLeft w:val="0"/>
              <w:marRight w:val="0"/>
              <w:marTop w:val="0"/>
              <w:marBottom w:val="0"/>
              <w:divBdr>
                <w:top w:val="single" w:sz="2" w:space="0" w:color="000000"/>
                <w:left w:val="single" w:sz="2" w:space="0" w:color="000000"/>
                <w:bottom w:val="single" w:sz="2" w:space="0" w:color="000000"/>
                <w:right w:val="single" w:sz="2" w:space="0" w:color="000000"/>
              </w:divBdr>
            </w:div>
            <w:div w:id="410389208">
              <w:marLeft w:val="0"/>
              <w:marRight w:val="0"/>
              <w:marTop w:val="0"/>
              <w:marBottom w:val="0"/>
              <w:divBdr>
                <w:top w:val="single" w:sz="2" w:space="0" w:color="000000"/>
                <w:left w:val="single" w:sz="2" w:space="0" w:color="000000"/>
                <w:bottom w:val="single" w:sz="2" w:space="0" w:color="000000"/>
                <w:right w:val="single" w:sz="2" w:space="0" w:color="000000"/>
              </w:divBdr>
            </w:div>
            <w:div w:id="391388158">
              <w:marLeft w:val="0"/>
              <w:marRight w:val="0"/>
              <w:marTop w:val="0"/>
              <w:marBottom w:val="0"/>
              <w:divBdr>
                <w:top w:val="single" w:sz="2" w:space="0" w:color="000000"/>
                <w:left w:val="single" w:sz="2" w:space="0" w:color="000000"/>
                <w:bottom w:val="single" w:sz="2" w:space="0" w:color="000000"/>
                <w:right w:val="single" w:sz="2" w:space="0" w:color="000000"/>
              </w:divBdr>
            </w:div>
            <w:div w:id="2075858616">
              <w:marLeft w:val="0"/>
              <w:marRight w:val="0"/>
              <w:marTop w:val="0"/>
              <w:marBottom w:val="0"/>
              <w:divBdr>
                <w:top w:val="single" w:sz="2" w:space="0" w:color="000000"/>
                <w:left w:val="single" w:sz="2" w:space="0" w:color="000000"/>
                <w:bottom w:val="single" w:sz="2" w:space="0" w:color="000000"/>
                <w:right w:val="single" w:sz="2" w:space="0" w:color="000000"/>
              </w:divBdr>
            </w:div>
            <w:div w:id="702436178">
              <w:marLeft w:val="0"/>
              <w:marRight w:val="0"/>
              <w:marTop w:val="0"/>
              <w:marBottom w:val="0"/>
              <w:divBdr>
                <w:top w:val="single" w:sz="2" w:space="0" w:color="000000"/>
                <w:left w:val="single" w:sz="2" w:space="0" w:color="000000"/>
                <w:bottom w:val="single" w:sz="2" w:space="0" w:color="000000"/>
                <w:right w:val="single" w:sz="2" w:space="0" w:color="000000"/>
              </w:divBdr>
            </w:div>
            <w:div w:id="357319332">
              <w:marLeft w:val="0"/>
              <w:marRight w:val="0"/>
              <w:marTop w:val="0"/>
              <w:marBottom w:val="0"/>
              <w:divBdr>
                <w:top w:val="single" w:sz="2" w:space="0" w:color="000000"/>
                <w:left w:val="single" w:sz="2" w:space="0" w:color="000000"/>
                <w:bottom w:val="single" w:sz="2" w:space="0" w:color="000000"/>
                <w:right w:val="single" w:sz="2" w:space="0" w:color="000000"/>
              </w:divBdr>
            </w:div>
            <w:div w:id="459228443">
              <w:marLeft w:val="0"/>
              <w:marRight w:val="0"/>
              <w:marTop w:val="0"/>
              <w:marBottom w:val="0"/>
              <w:divBdr>
                <w:top w:val="single" w:sz="2" w:space="0" w:color="000000"/>
                <w:left w:val="single" w:sz="2" w:space="0" w:color="000000"/>
                <w:bottom w:val="single" w:sz="2" w:space="0" w:color="000000"/>
                <w:right w:val="single" w:sz="2" w:space="0" w:color="000000"/>
              </w:divBdr>
            </w:div>
            <w:div w:id="1108817462">
              <w:marLeft w:val="0"/>
              <w:marRight w:val="0"/>
              <w:marTop w:val="0"/>
              <w:marBottom w:val="0"/>
              <w:divBdr>
                <w:top w:val="single" w:sz="2" w:space="0" w:color="000000"/>
                <w:left w:val="single" w:sz="2" w:space="0" w:color="000000"/>
                <w:bottom w:val="single" w:sz="2" w:space="0" w:color="000000"/>
                <w:right w:val="single" w:sz="2" w:space="0" w:color="000000"/>
              </w:divBdr>
            </w:div>
            <w:div w:id="1273129744">
              <w:marLeft w:val="0"/>
              <w:marRight w:val="0"/>
              <w:marTop w:val="384"/>
              <w:marBottom w:val="120"/>
              <w:divBdr>
                <w:top w:val="single" w:sz="2" w:space="0" w:color="000000"/>
                <w:left w:val="single" w:sz="2" w:space="0" w:color="000000"/>
                <w:bottom w:val="single" w:sz="2" w:space="0" w:color="000000"/>
                <w:right w:val="single" w:sz="2" w:space="0" w:color="000000"/>
              </w:divBdr>
            </w:div>
            <w:div w:id="1715502052">
              <w:marLeft w:val="0"/>
              <w:marRight w:val="0"/>
              <w:marTop w:val="0"/>
              <w:marBottom w:val="0"/>
              <w:divBdr>
                <w:top w:val="single" w:sz="2" w:space="0" w:color="000000"/>
                <w:left w:val="single" w:sz="2" w:space="0" w:color="000000"/>
                <w:bottom w:val="single" w:sz="2" w:space="0" w:color="000000"/>
                <w:right w:val="single" w:sz="2" w:space="0" w:color="000000"/>
              </w:divBdr>
            </w:div>
            <w:div w:id="2076580893">
              <w:marLeft w:val="0"/>
              <w:marRight w:val="0"/>
              <w:marTop w:val="0"/>
              <w:marBottom w:val="0"/>
              <w:divBdr>
                <w:top w:val="single" w:sz="2" w:space="0" w:color="000000"/>
                <w:left w:val="single" w:sz="2" w:space="0" w:color="000000"/>
                <w:bottom w:val="single" w:sz="2" w:space="0" w:color="000000"/>
                <w:right w:val="single" w:sz="2" w:space="0" w:color="000000"/>
              </w:divBdr>
            </w:div>
            <w:div w:id="459425082">
              <w:marLeft w:val="0"/>
              <w:marRight w:val="0"/>
              <w:marTop w:val="0"/>
              <w:marBottom w:val="0"/>
              <w:divBdr>
                <w:top w:val="single" w:sz="2" w:space="0" w:color="000000"/>
                <w:left w:val="single" w:sz="2" w:space="0" w:color="000000"/>
                <w:bottom w:val="single" w:sz="2" w:space="0" w:color="000000"/>
                <w:right w:val="single" w:sz="2" w:space="0" w:color="000000"/>
              </w:divBdr>
            </w:div>
            <w:div w:id="1448620511">
              <w:marLeft w:val="0"/>
              <w:marRight w:val="0"/>
              <w:marTop w:val="0"/>
              <w:marBottom w:val="0"/>
              <w:divBdr>
                <w:top w:val="single" w:sz="2" w:space="0" w:color="000000"/>
                <w:left w:val="single" w:sz="2" w:space="0" w:color="000000"/>
                <w:bottom w:val="single" w:sz="2" w:space="0" w:color="000000"/>
                <w:right w:val="single" w:sz="2" w:space="0" w:color="000000"/>
              </w:divBdr>
            </w:div>
            <w:div w:id="1475102219">
              <w:marLeft w:val="0"/>
              <w:marRight w:val="0"/>
              <w:marTop w:val="0"/>
              <w:marBottom w:val="0"/>
              <w:divBdr>
                <w:top w:val="single" w:sz="2" w:space="0" w:color="000000"/>
                <w:left w:val="single" w:sz="2" w:space="0" w:color="000000"/>
                <w:bottom w:val="single" w:sz="2" w:space="0" w:color="000000"/>
                <w:right w:val="single" w:sz="2" w:space="0" w:color="000000"/>
              </w:divBdr>
            </w:div>
            <w:div w:id="604963998">
              <w:marLeft w:val="0"/>
              <w:marRight w:val="0"/>
              <w:marTop w:val="384"/>
              <w:marBottom w:val="120"/>
              <w:divBdr>
                <w:top w:val="single" w:sz="2" w:space="0" w:color="000000"/>
                <w:left w:val="single" w:sz="2" w:space="0" w:color="000000"/>
                <w:bottom w:val="single" w:sz="2" w:space="0" w:color="000000"/>
                <w:right w:val="single" w:sz="2" w:space="0" w:color="000000"/>
              </w:divBdr>
            </w:div>
            <w:div w:id="4302755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770977363">
      <w:bodyDiv w:val="1"/>
      <w:marLeft w:val="0"/>
      <w:marRight w:val="0"/>
      <w:marTop w:val="0"/>
      <w:marBottom w:val="0"/>
      <w:divBdr>
        <w:top w:val="none" w:sz="0" w:space="0" w:color="auto"/>
        <w:left w:val="none" w:sz="0" w:space="0" w:color="auto"/>
        <w:bottom w:val="none" w:sz="0" w:space="0" w:color="auto"/>
        <w:right w:val="none" w:sz="0" w:space="0" w:color="auto"/>
      </w:divBdr>
    </w:div>
    <w:div w:id="1224219325">
      <w:bodyDiv w:val="1"/>
      <w:marLeft w:val="0"/>
      <w:marRight w:val="0"/>
      <w:marTop w:val="0"/>
      <w:marBottom w:val="0"/>
      <w:divBdr>
        <w:top w:val="none" w:sz="0" w:space="0" w:color="auto"/>
        <w:left w:val="none" w:sz="0" w:space="0" w:color="auto"/>
        <w:bottom w:val="none" w:sz="0" w:space="0" w:color="auto"/>
        <w:right w:val="none" w:sz="0" w:space="0" w:color="auto"/>
      </w:divBdr>
    </w:div>
    <w:div w:id="1300259398">
      <w:bodyDiv w:val="1"/>
      <w:marLeft w:val="0"/>
      <w:marRight w:val="0"/>
      <w:marTop w:val="0"/>
      <w:marBottom w:val="0"/>
      <w:divBdr>
        <w:top w:val="none" w:sz="0" w:space="0" w:color="auto"/>
        <w:left w:val="none" w:sz="0" w:space="0" w:color="auto"/>
        <w:bottom w:val="none" w:sz="0" w:space="0" w:color="auto"/>
        <w:right w:val="none" w:sz="0" w:space="0" w:color="auto"/>
      </w:divBdr>
      <w:divsChild>
        <w:div w:id="1352954733">
          <w:marLeft w:val="0"/>
          <w:marRight w:val="0"/>
          <w:marTop w:val="0"/>
          <w:marBottom w:val="0"/>
          <w:divBdr>
            <w:top w:val="none" w:sz="0" w:space="0" w:color="auto"/>
            <w:left w:val="none" w:sz="0" w:space="0" w:color="auto"/>
            <w:bottom w:val="none" w:sz="0" w:space="0" w:color="auto"/>
            <w:right w:val="none" w:sz="0" w:space="0" w:color="auto"/>
          </w:divBdr>
          <w:divsChild>
            <w:div w:id="1009794814">
              <w:marLeft w:val="0"/>
              <w:marRight w:val="0"/>
              <w:marTop w:val="0"/>
              <w:marBottom w:val="120"/>
              <w:divBdr>
                <w:top w:val="single" w:sz="2" w:space="0" w:color="000000"/>
                <w:left w:val="single" w:sz="2" w:space="0" w:color="000000"/>
                <w:bottom w:val="single" w:sz="2" w:space="0" w:color="000000"/>
                <w:right w:val="single" w:sz="2" w:space="0" w:color="000000"/>
              </w:divBdr>
            </w:div>
            <w:div w:id="905266103">
              <w:marLeft w:val="0"/>
              <w:marRight w:val="0"/>
              <w:marTop w:val="384"/>
              <w:marBottom w:val="120"/>
              <w:divBdr>
                <w:top w:val="single" w:sz="2" w:space="0" w:color="000000"/>
                <w:left w:val="single" w:sz="2" w:space="0" w:color="000000"/>
                <w:bottom w:val="single" w:sz="2" w:space="0" w:color="000000"/>
                <w:right w:val="single" w:sz="2" w:space="0" w:color="000000"/>
              </w:divBdr>
            </w:div>
            <w:div w:id="1597597296">
              <w:marLeft w:val="0"/>
              <w:marRight w:val="0"/>
              <w:marTop w:val="0"/>
              <w:marBottom w:val="0"/>
              <w:divBdr>
                <w:top w:val="single" w:sz="2" w:space="0" w:color="000000"/>
                <w:left w:val="single" w:sz="2" w:space="0" w:color="000000"/>
                <w:bottom w:val="single" w:sz="2" w:space="0" w:color="000000"/>
                <w:right w:val="single" w:sz="2" w:space="0" w:color="000000"/>
              </w:divBdr>
            </w:div>
            <w:div w:id="218709346">
              <w:marLeft w:val="0"/>
              <w:marRight w:val="0"/>
              <w:marTop w:val="0"/>
              <w:marBottom w:val="0"/>
              <w:divBdr>
                <w:top w:val="single" w:sz="2" w:space="0" w:color="000000"/>
                <w:left w:val="single" w:sz="2" w:space="0" w:color="000000"/>
                <w:bottom w:val="single" w:sz="2" w:space="0" w:color="000000"/>
                <w:right w:val="single" w:sz="2" w:space="0" w:color="000000"/>
              </w:divBdr>
            </w:div>
            <w:div w:id="1785803230">
              <w:marLeft w:val="0"/>
              <w:marRight w:val="0"/>
              <w:marTop w:val="0"/>
              <w:marBottom w:val="0"/>
              <w:divBdr>
                <w:top w:val="single" w:sz="2" w:space="0" w:color="000000"/>
                <w:left w:val="single" w:sz="2" w:space="0" w:color="000000"/>
                <w:bottom w:val="single" w:sz="2" w:space="0" w:color="000000"/>
                <w:right w:val="single" w:sz="2" w:space="0" w:color="000000"/>
              </w:divBdr>
            </w:div>
            <w:div w:id="547651049">
              <w:marLeft w:val="0"/>
              <w:marRight w:val="0"/>
              <w:marTop w:val="0"/>
              <w:marBottom w:val="0"/>
              <w:divBdr>
                <w:top w:val="single" w:sz="2" w:space="0" w:color="000000"/>
                <w:left w:val="single" w:sz="2" w:space="0" w:color="000000"/>
                <w:bottom w:val="single" w:sz="2" w:space="0" w:color="000000"/>
                <w:right w:val="single" w:sz="2" w:space="0" w:color="000000"/>
              </w:divBdr>
            </w:div>
            <w:div w:id="2023240362">
              <w:marLeft w:val="0"/>
              <w:marRight w:val="0"/>
              <w:marTop w:val="384"/>
              <w:marBottom w:val="120"/>
              <w:divBdr>
                <w:top w:val="single" w:sz="2" w:space="0" w:color="000000"/>
                <w:left w:val="single" w:sz="2" w:space="0" w:color="000000"/>
                <w:bottom w:val="single" w:sz="2" w:space="0" w:color="000000"/>
                <w:right w:val="single" w:sz="2" w:space="0" w:color="000000"/>
              </w:divBdr>
            </w:div>
            <w:div w:id="911163817">
              <w:marLeft w:val="0"/>
              <w:marRight w:val="0"/>
              <w:marTop w:val="0"/>
              <w:marBottom w:val="0"/>
              <w:divBdr>
                <w:top w:val="single" w:sz="2" w:space="0" w:color="000000"/>
                <w:left w:val="single" w:sz="2" w:space="0" w:color="000000"/>
                <w:bottom w:val="single" w:sz="2" w:space="0" w:color="000000"/>
                <w:right w:val="single" w:sz="2" w:space="0" w:color="000000"/>
              </w:divBdr>
            </w:div>
            <w:div w:id="277688660">
              <w:marLeft w:val="0"/>
              <w:marRight w:val="0"/>
              <w:marTop w:val="0"/>
              <w:marBottom w:val="0"/>
              <w:divBdr>
                <w:top w:val="single" w:sz="2" w:space="0" w:color="000000"/>
                <w:left w:val="single" w:sz="2" w:space="0" w:color="000000"/>
                <w:bottom w:val="single" w:sz="2" w:space="0" w:color="000000"/>
                <w:right w:val="single" w:sz="2" w:space="0" w:color="000000"/>
              </w:divBdr>
            </w:div>
            <w:div w:id="2007438986">
              <w:marLeft w:val="0"/>
              <w:marRight w:val="0"/>
              <w:marTop w:val="0"/>
              <w:marBottom w:val="0"/>
              <w:divBdr>
                <w:top w:val="single" w:sz="2" w:space="0" w:color="000000"/>
                <w:left w:val="single" w:sz="2" w:space="0" w:color="000000"/>
                <w:bottom w:val="single" w:sz="2" w:space="0" w:color="000000"/>
                <w:right w:val="single" w:sz="2" w:space="0" w:color="000000"/>
              </w:divBdr>
            </w:div>
            <w:div w:id="887381700">
              <w:marLeft w:val="0"/>
              <w:marRight w:val="0"/>
              <w:marTop w:val="384"/>
              <w:marBottom w:val="120"/>
              <w:divBdr>
                <w:top w:val="single" w:sz="2" w:space="0" w:color="000000"/>
                <w:left w:val="single" w:sz="2" w:space="0" w:color="000000"/>
                <w:bottom w:val="single" w:sz="2" w:space="0" w:color="000000"/>
                <w:right w:val="single" w:sz="2" w:space="0" w:color="000000"/>
              </w:divBdr>
            </w:div>
            <w:div w:id="585846194">
              <w:marLeft w:val="0"/>
              <w:marRight w:val="0"/>
              <w:marTop w:val="312"/>
              <w:marBottom w:val="144"/>
              <w:divBdr>
                <w:top w:val="single" w:sz="2" w:space="0" w:color="000000"/>
                <w:left w:val="single" w:sz="2" w:space="0" w:color="000000"/>
                <w:bottom w:val="single" w:sz="2" w:space="0" w:color="000000"/>
                <w:right w:val="single" w:sz="2" w:space="0" w:color="000000"/>
              </w:divBdr>
            </w:div>
            <w:div w:id="916482407">
              <w:marLeft w:val="0"/>
              <w:marRight w:val="0"/>
              <w:marTop w:val="0"/>
              <w:marBottom w:val="0"/>
              <w:divBdr>
                <w:top w:val="single" w:sz="2" w:space="0" w:color="000000"/>
                <w:left w:val="single" w:sz="2" w:space="0" w:color="000000"/>
                <w:bottom w:val="single" w:sz="2" w:space="0" w:color="000000"/>
                <w:right w:val="single" w:sz="2" w:space="0" w:color="000000"/>
              </w:divBdr>
            </w:div>
            <w:div w:id="744300098">
              <w:marLeft w:val="0"/>
              <w:marRight w:val="0"/>
              <w:marTop w:val="312"/>
              <w:marBottom w:val="144"/>
              <w:divBdr>
                <w:top w:val="single" w:sz="2" w:space="0" w:color="000000"/>
                <w:left w:val="single" w:sz="2" w:space="0" w:color="000000"/>
                <w:bottom w:val="single" w:sz="2" w:space="0" w:color="000000"/>
                <w:right w:val="single" w:sz="2" w:space="0" w:color="000000"/>
              </w:divBdr>
            </w:div>
            <w:div w:id="1679042156">
              <w:marLeft w:val="0"/>
              <w:marRight w:val="0"/>
              <w:marTop w:val="0"/>
              <w:marBottom w:val="0"/>
              <w:divBdr>
                <w:top w:val="single" w:sz="2" w:space="0" w:color="000000"/>
                <w:left w:val="single" w:sz="2" w:space="0" w:color="000000"/>
                <w:bottom w:val="single" w:sz="2" w:space="0" w:color="000000"/>
                <w:right w:val="single" w:sz="2" w:space="0" w:color="000000"/>
              </w:divBdr>
            </w:div>
            <w:div w:id="89204552">
              <w:marLeft w:val="0"/>
              <w:marRight w:val="0"/>
              <w:marTop w:val="312"/>
              <w:marBottom w:val="144"/>
              <w:divBdr>
                <w:top w:val="single" w:sz="2" w:space="0" w:color="000000"/>
                <w:left w:val="single" w:sz="2" w:space="0" w:color="000000"/>
                <w:bottom w:val="single" w:sz="2" w:space="0" w:color="000000"/>
                <w:right w:val="single" w:sz="2" w:space="0" w:color="000000"/>
              </w:divBdr>
            </w:div>
            <w:div w:id="95055686">
              <w:marLeft w:val="0"/>
              <w:marRight w:val="0"/>
              <w:marTop w:val="0"/>
              <w:marBottom w:val="0"/>
              <w:divBdr>
                <w:top w:val="single" w:sz="2" w:space="0" w:color="000000"/>
                <w:left w:val="single" w:sz="2" w:space="0" w:color="000000"/>
                <w:bottom w:val="single" w:sz="2" w:space="0" w:color="000000"/>
                <w:right w:val="single" w:sz="2" w:space="0" w:color="000000"/>
              </w:divBdr>
            </w:div>
            <w:div w:id="1898663729">
              <w:marLeft w:val="0"/>
              <w:marRight w:val="0"/>
              <w:marTop w:val="312"/>
              <w:marBottom w:val="144"/>
              <w:divBdr>
                <w:top w:val="single" w:sz="2" w:space="0" w:color="000000"/>
                <w:left w:val="single" w:sz="2" w:space="0" w:color="000000"/>
                <w:bottom w:val="single" w:sz="2" w:space="0" w:color="000000"/>
                <w:right w:val="single" w:sz="2" w:space="0" w:color="000000"/>
              </w:divBdr>
            </w:div>
            <w:div w:id="896356444">
              <w:marLeft w:val="0"/>
              <w:marRight w:val="0"/>
              <w:marTop w:val="0"/>
              <w:marBottom w:val="0"/>
              <w:divBdr>
                <w:top w:val="single" w:sz="2" w:space="0" w:color="000000"/>
                <w:left w:val="single" w:sz="2" w:space="0" w:color="000000"/>
                <w:bottom w:val="single" w:sz="2" w:space="0" w:color="000000"/>
                <w:right w:val="single" w:sz="2" w:space="0" w:color="000000"/>
              </w:divBdr>
            </w:div>
            <w:div w:id="1914007679">
              <w:marLeft w:val="0"/>
              <w:marRight w:val="0"/>
              <w:marTop w:val="312"/>
              <w:marBottom w:val="144"/>
              <w:divBdr>
                <w:top w:val="single" w:sz="2" w:space="0" w:color="000000"/>
                <w:left w:val="single" w:sz="2" w:space="0" w:color="000000"/>
                <w:bottom w:val="single" w:sz="2" w:space="0" w:color="000000"/>
                <w:right w:val="single" w:sz="2" w:space="0" w:color="000000"/>
              </w:divBdr>
            </w:div>
            <w:div w:id="1898124263">
              <w:marLeft w:val="0"/>
              <w:marRight w:val="0"/>
              <w:marTop w:val="0"/>
              <w:marBottom w:val="0"/>
              <w:divBdr>
                <w:top w:val="single" w:sz="2" w:space="0" w:color="000000"/>
                <w:left w:val="single" w:sz="2" w:space="0" w:color="000000"/>
                <w:bottom w:val="single" w:sz="2" w:space="0" w:color="000000"/>
                <w:right w:val="single" w:sz="2" w:space="0" w:color="000000"/>
              </w:divBdr>
            </w:div>
            <w:div w:id="456726843">
              <w:marLeft w:val="0"/>
              <w:marRight w:val="0"/>
              <w:marTop w:val="384"/>
              <w:marBottom w:val="120"/>
              <w:divBdr>
                <w:top w:val="single" w:sz="2" w:space="0" w:color="000000"/>
                <w:left w:val="single" w:sz="2" w:space="0" w:color="000000"/>
                <w:bottom w:val="single" w:sz="2" w:space="0" w:color="000000"/>
                <w:right w:val="single" w:sz="2" w:space="0" w:color="000000"/>
              </w:divBdr>
            </w:div>
            <w:div w:id="1987398114">
              <w:marLeft w:val="0"/>
              <w:marRight w:val="0"/>
              <w:marTop w:val="312"/>
              <w:marBottom w:val="144"/>
              <w:divBdr>
                <w:top w:val="single" w:sz="2" w:space="0" w:color="000000"/>
                <w:left w:val="single" w:sz="2" w:space="0" w:color="000000"/>
                <w:bottom w:val="single" w:sz="2" w:space="0" w:color="000000"/>
                <w:right w:val="single" w:sz="2" w:space="0" w:color="000000"/>
              </w:divBdr>
            </w:div>
            <w:div w:id="112095824">
              <w:marLeft w:val="0"/>
              <w:marRight w:val="0"/>
              <w:marTop w:val="0"/>
              <w:marBottom w:val="0"/>
              <w:divBdr>
                <w:top w:val="single" w:sz="2" w:space="0" w:color="000000"/>
                <w:left w:val="single" w:sz="2" w:space="0" w:color="000000"/>
                <w:bottom w:val="single" w:sz="2" w:space="0" w:color="000000"/>
                <w:right w:val="single" w:sz="2" w:space="0" w:color="000000"/>
              </w:divBdr>
            </w:div>
            <w:div w:id="532885561">
              <w:marLeft w:val="0"/>
              <w:marRight w:val="0"/>
              <w:marTop w:val="312"/>
              <w:marBottom w:val="144"/>
              <w:divBdr>
                <w:top w:val="single" w:sz="2" w:space="0" w:color="000000"/>
                <w:left w:val="single" w:sz="2" w:space="0" w:color="000000"/>
                <w:bottom w:val="single" w:sz="2" w:space="0" w:color="000000"/>
                <w:right w:val="single" w:sz="2" w:space="0" w:color="000000"/>
              </w:divBdr>
            </w:div>
            <w:div w:id="312879300">
              <w:marLeft w:val="0"/>
              <w:marRight w:val="0"/>
              <w:marTop w:val="0"/>
              <w:marBottom w:val="0"/>
              <w:divBdr>
                <w:top w:val="single" w:sz="2" w:space="0" w:color="000000"/>
                <w:left w:val="single" w:sz="2" w:space="0" w:color="000000"/>
                <w:bottom w:val="single" w:sz="2" w:space="0" w:color="000000"/>
                <w:right w:val="single" w:sz="2" w:space="0" w:color="000000"/>
              </w:divBdr>
            </w:div>
            <w:div w:id="804155878">
              <w:marLeft w:val="0"/>
              <w:marRight w:val="0"/>
              <w:marTop w:val="0"/>
              <w:marBottom w:val="0"/>
              <w:divBdr>
                <w:top w:val="single" w:sz="2" w:space="0" w:color="000000"/>
                <w:left w:val="single" w:sz="2" w:space="0" w:color="000000"/>
                <w:bottom w:val="single" w:sz="2" w:space="0" w:color="000000"/>
                <w:right w:val="single" w:sz="2" w:space="0" w:color="000000"/>
              </w:divBdr>
            </w:div>
            <w:div w:id="817112333">
              <w:marLeft w:val="0"/>
              <w:marRight w:val="0"/>
              <w:marTop w:val="0"/>
              <w:marBottom w:val="0"/>
              <w:divBdr>
                <w:top w:val="single" w:sz="2" w:space="0" w:color="000000"/>
                <w:left w:val="single" w:sz="2" w:space="0" w:color="000000"/>
                <w:bottom w:val="single" w:sz="2" w:space="0" w:color="000000"/>
                <w:right w:val="single" w:sz="2" w:space="0" w:color="000000"/>
              </w:divBdr>
            </w:div>
            <w:div w:id="1701662091">
              <w:marLeft w:val="0"/>
              <w:marRight w:val="0"/>
              <w:marTop w:val="0"/>
              <w:marBottom w:val="0"/>
              <w:divBdr>
                <w:top w:val="single" w:sz="2" w:space="0" w:color="000000"/>
                <w:left w:val="single" w:sz="2" w:space="0" w:color="000000"/>
                <w:bottom w:val="single" w:sz="2" w:space="0" w:color="000000"/>
                <w:right w:val="single" w:sz="2" w:space="0" w:color="000000"/>
              </w:divBdr>
            </w:div>
            <w:div w:id="1912688387">
              <w:marLeft w:val="0"/>
              <w:marRight w:val="0"/>
              <w:marTop w:val="0"/>
              <w:marBottom w:val="0"/>
              <w:divBdr>
                <w:top w:val="single" w:sz="2" w:space="0" w:color="000000"/>
                <w:left w:val="single" w:sz="2" w:space="0" w:color="000000"/>
                <w:bottom w:val="single" w:sz="2" w:space="0" w:color="000000"/>
                <w:right w:val="single" w:sz="2" w:space="0" w:color="000000"/>
              </w:divBdr>
            </w:div>
            <w:div w:id="933048844">
              <w:marLeft w:val="0"/>
              <w:marRight w:val="0"/>
              <w:marTop w:val="0"/>
              <w:marBottom w:val="0"/>
              <w:divBdr>
                <w:top w:val="single" w:sz="2" w:space="0" w:color="000000"/>
                <w:left w:val="single" w:sz="2" w:space="0" w:color="000000"/>
                <w:bottom w:val="single" w:sz="2" w:space="0" w:color="000000"/>
                <w:right w:val="single" w:sz="2" w:space="0" w:color="000000"/>
              </w:divBdr>
            </w:div>
            <w:div w:id="531695372">
              <w:marLeft w:val="0"/>
              <w:marRight w:val="0"/>
              <w:marTop w:val="0"/>
              <w:marBottom w:val="0"/>
              <w:divBdr>
                <w:top w:val="single" w:sz="2" w:space="0" w:color="000000"/>
                <w:left w:val="single" w:sz="2" w:space="0" w:color="000000"/>
                <w:bottom w:val="single" w:sz="2" w:space="0" w:color="000000"/>
                <w:right w:val="single" w:sz="2" w:space="0" w:color="000000"/>
              </w:divBdr>
            </w:div>
            <w:div w:id="1638222254">
              <w:marLeft w:val="0"/>
              <w:marRight w:val="0"/>
              <w:marTop w:val="312"/>
              <w:marBottom w:val="144"/>
              <w:divBdr>
                <w:top w:val="single" w:sz="2" w:space="0" w:color="000000"/>
                <w:left w:val="single" w:sz="2" w:space="0" w:color="000000"/>
                <w:bottom w:val="single" w:sz="2" w:space="0" w:color="000000"/>
                <w:right w:val="single" w:sz="2" w:space="0" w:color="000000"/>
              </w:divBdr>
            </w:div>
            <w:div w:id="589313934">
              <w:marLeft w:val="0"/>
              <w:marRight w:val="0"/>
              <w:marTop w:val="0"/>
              <w:marBottom w:val="0"/>
              <w:divBdr>
                <w:top w:val="single" w:sz="2" w:space="0" w:color="000000"/>
                <w:left w:val="single" w:sz="2" w:space="0" w:color="000000"/>
                <w:bottom w:val="single" w:sz="2" w:space="0" w:color="000000"/>
                <w:right w:val="single" w:sz="2" w:space="0" w:color="000000"/>
              </w:divBdr>
            </w:div>
            <w:div w:id="1088888386">
              <w:marLeft w:val="0"/>
              <w:marRight w:val="0"/>
              <w:marTop w:val="0"/>
              <w:marBottom w:val="0"/>
              <w:divBdr>
                <w:top w:val="single" w:sz="2" w:space="0" w:color="000000"/>
                <w:left w:val="single" w:sz="2" w:space="0" w:color="000000"/>
                <w:bottom w:val="single" w:sz="2" w:space="0" w:color="000000"/>
                <w:right w:val="single" w:sz="2" w:space="0" w:color="000000"/>
              </w:divBdr>
            </w:div>
            <w:div w:id="1761556900">
              <w:marLeft w:val="0"/>
              <w:marRight w:val="0"/>
              <w:marTop w:val="0"/>
              <w:marBottom w:val="0"/>
              <w:divBdr>
                <w:top w:val="single" w:sz="2" w:space="0" w:color="000000"/>
                <w:left w:val="single" w:sz="2" w:space="0" w:color="000000"/>
                <w:bottom w:val="single" w:sz="2" w:space="0" w:color="000000"/>
                <w:right w:val="single" w:sz="2" w:space="0" w:color="000000"/>
              </w:divBdr>
            </w:div>
            <w:div w:id="1632175372">
              <w:marLeft w:val="0"/>
              <w:marRight w:val="0"/>
              <w:marTop w:val="0"/>
              <w:marBottom w:val="0"/>
              <w:divBdr>
                <w:top w:val="single" w:sz="2" w:space="0" w:color="000000"/>
                <w:left w:val="single" w:sz="2" w:space="0" w:color="000000"/>
                <w:bottom w:val="single" w:sz="2" w:space="0" w:color="000000"/>
                <w:right w:val="single" w:sz="2" w:space="0" w:color="000000"/>
              </w:divBdr>
            </w:div>
            <w:div w:id="698120805">
              <w:marLeft w:val="0"/>
              <w:marRight w:val="0"/>
              <w:marTop w:val="0"/>
              <w:marBottom w:val="0"/>
              <w:divBdr>
                <w:top w:val="single" w:sz="2" w:space="0" w:color="000000"/>
                <w:left w:val="single" w:sz="2" w:space="0" w:color="000000"/>
                <w:bottom w:val="single" w:sz="2" w:space="0" w:color="000000"/>
                <w:right w:val="single" w:sz="2" w:space="0" w:color="000000"/>
              </w:divBdr>
            </w:div>
            <w:div w:id="347148653">
              <w:marLeft w:val="0"/>
              <w:marRight w:val="0"/>
              <w:marTop w:val="0"/>
              <w:marBottom w:val="0"/>
              <w:divBdr>
                <w:top w:val="single" w:sz="2" w:space="0" w:color="000000"/>
                <w:left w:val="single" w:sz="2" w:space="0" w:color="000000"/>
                <w:bottom w:val="single" w:sz="2" w:space="0" w:color="000000"/>
                <w:right w:val="single" w:sz="2" w:space="0" w:color="000000"/>
              </w:divBdr>
            </w:div>
            <w:div w:id="123816578">
              <w:marLeft w:val="0"/>
              <w:marRight w:val="0"/>
              <w:marTop w:val="0"/>
              <w:marBottom w:val="0"/>
              <w:divBdr>
                <w:top w:val="single" w:sz="2" w:space="0" w:color="000000"/>
                <w:left w:val="single" w:sz="2" w:space="0" w:color="000000"/>
                <w:bottom w:val="single" w:sz="2" w:space="0" w:color="000000"/>
                <w:right w:val="single" w:sz="2" w:space="0" w:color="000000"/>
              </w:divBdr>
            </w:div>
            <w:div w:id="135952495">
              <w:marLeft w:val="0"/>
              <w:marRight w:val="0"/>
              <w:marTop w:val="0"/>
              <w:marBottom w:val="0"/>
              <w:divBdr>
                <w:top w:val="single" w:sz="2" w:space="0" w:color="000000"/>
                <w:left w:val="single" w:sz="2" w:space="0" w:color="000000"/>
                <w:bottom w:val="single" w:sz="2" w:space="0" w:color="000000"/>
                <w:right w:val="single" w:sz="2" w:space="0" w:color="000000"/>
              </w:divBdr>
            </w:div>
            <w:div w:id="1923830914">
              <w:marLeft w:val="0"/>
              <w:marRight w:val="0"/>
              <w:marTop w:val="384"/>
              <w:marBottom w:val="120"/>
              <w:divBdr>
                <w:top w:val="single" w:sz="2" w:space="0" w:color="000000"/>
                <w:left w:val="single" w:sz="2" w:space="0" w:color="000000"/>
                <w:bottom w:val="single" w:sz="2" w:space="0" w:color="000000"/>
                <w:right w:val="single" w:sz="2" w:space="0" w:color="000000"/>
              </w:divBdr>
            </w:div>
            <w:div w:id="357124208">
              <w:marLeft w:val="0"/>
              <w:marRight w:val="0"/>
              <w:marTop w:val="0"/>
              <w:marBottom w:val="0"/>
              <w:divBdr>
                <w:top w:val="single" w:sz="2" w:space="0" w:color="000000"/>
                <w:left w:val="single" w:sz="2" w:space="0" w:color="000000"/>
                <w:bottom w:val="single" w:sz="2" w:space="0" w:color="000000"/>
                <w:right w:val="single" w:sz="2" w:space="0" w:color="000000"/>
              </w:divBdr>
            </w:div>
            <w:div w:id="313489538">
              <w:marLeft w:val="0"/>
              <w:marRight w:val="0"/>
              <w:marTop w:val="0"/>
              <w:marBottom w:val="0"/>
              <w:divBdr>
                <w:top w:val="single" w:sz="2" w:space="0" w:color="000000"/>
                <w:left w:val="single" w:sz="2" w:space="0" w:color="000000"/>
                <w:bottom w:val="single" w:sz="2" w:space="0" w:color="000000"/>
                <w:right w:val="single" w:sz="2" w:space="0" w:color="000000"/>
              </w:divBdr>
            </w:div>
            <w:div w:id="1020084644">
              <w:marLeft w:val="0"/>
              <w:marRight w:val="0"/>
              <w:marTop w:val="0"/>
              <w:marBottom w:val="0"/>
              <w:divBdr>
                <w:top w:val="single" w:sz="2" w:space="0" w:color="000000"/>
                <w:left w:val="single" w:sz="2" w:space="0" w:color="000000"/>
                <w:bottom w:val="single" w:sz="2" w:space="0" w:color="000000"/>
                <w:right w:val="single" w:sz="2" w:space="0" w:color="000000"/>
              </w:divBdr>
            </w:div>
            <w:div w:id="1479612687">
              <w:marLeft w:val="0"/>
              <w:marRight w:val="0"/>
              <w:marTop w:val="0"/>
              <w:marBottom w:val="0"/>
              <w:divBdr>
                <w:top w:val="single" w:sz="2" w:space="0" w:color="000000"/>
                <w:left w:val="single" w:sz="2" w:space="0" w:color="000000"/>
                <w:bottom w:val="single" w:sz="2" w:space="0" w:color="000000"/>
                <w:right w:val="single" w:sz="2" w:space="0" w:color="000000"/>
              </w:divBdr>
            </w:div>
            <w:div w:id="1457456182">
              <w:marLeft w:val="0"/>
              <w:marRight w:val="0"/>
              <w:marTop w:val="0"/>
              <w:marBottom w:val="0"/>
              <w:divBdr>
                <w:top w:val="single" w:sz="2" w:space="0" w:color="000000"/>
                <w:left w:val="single" w:sz="2" w:space="0" w:color="000000"/>
                <w:bottom w:val="single" w:sz="2" w:space="0" w:color="000000"/>
                <w:right w:val="single" w:sz="2" w:space="0" w:color="000000"/>
              </w:divBdr>
            </w:div>
            <w:div w:id="328409962">
              <w:marLeft w:val="0"/>
              <w:marRight w:val="0"/>
              <w:marTop w:val="384"/>
              <w:marBottom w:val="120"/>
              <w:divBdr>
                <w:top w:val="single" w:sz="2" w:space="0" w:color="000000"/>
                <w:left w:val="single" w:sz="2" w:space="0" w:color="000000"/>
                <w:bottom w:val="single" w:sz="2" w:space="0" w:color="000000"/>
                <w:right w:val="single" w:sz="2" w:space="0" w:color="000000"/>
              </w:divBdr>
            </w:div>
            <w:div w:id="103299276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1515</Words>
  <Characters>8639</Characters>
  <Application>Microsoft Office Word</Application>
  <DocSecurity>0</DocSecurity>
  <Lines>71</Lines>
  <Paragraphs>20</Paragraphs>
  <ScaleCrop>false</ScaleCrop>
  <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Cristiano Pini</dc:creator>
  <cp:keywords/>
  <dc:description/>
  <cp:lastModifiedBy>Cristiano Pini</cp:lastModifiedBy>
  <cp:revision>3</cp:revision>
  <dcterms:created xsi:type="dcterms:W3CDTF">2025-04-21T09:24:00Z</dcterms:created>
  <dcterms:modified xsi:type="dcterms:W3CDTF">2025-04-21T09:43:00Z</dcterms:modified>
</cp:coreProperties>
</file>